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sz w:val="72"/>
          <w:szCs w:val="72"/>
          <w:lang w:val="en-GB" w:eastAsia="en-US"/>
        </w:rPr>
        <w:id w:val="-1081204715"/>
        <w:docPartObj>
          <w:docPartGallery w:val="Cover Pages"/>
          <w:docPartUnique/>
        </w:docPartObj>
      </w:sdtPr>
      <w:sdtEndPr>
        <w:rPr>
          <w:rFonts w:asciiTheme="minorHAnsi" w:eastAsiaTheme="minorHAnsi" w:hAnsiTheme="minorHAnsi" w:cstheme="minorBidi"/>
          <w:sz w:val="24"/>
          <w:szCs w:val="22"/>
        </w:rPr>
      </w:sdtEndPr>
      <w:sdtContent>
        <w:p w14:paraId="6F4FF210" w14:textId="77777777" w:rsidR="00E43549" w:rsidRDefault="00E43549" w:rsidP="00E43549">
          <w:pPr>
            <w:pStyle w:val="NoSpacing"/>
            <w:jc w:val="center"/>
            <w:rPr>
              <w:noProof/>
              <w:lang w:val="en-GB" w:eastAsia="en-GB"/>
            </w:rPr>
          </w:pPr>
        </w:p>
        <w:p w14:paraId="6F4FF211" w14:textId="36EC07BE" w:rsidR="00E43549" w:rsidRPr="001873AF" w:rsidRDefault="00E43549" w:rsidP="00F85798">
          <w:pPr>
            <w:pStyle w:val="NoSpacing"/>
            <w:spacing w:before="240"/>
            <w:jc w:val="center"/>
            <w:rPr>
              <w:rFonts w:asciiTheme="majorHAnsi" w:eastAsiaTheme="majorEastAsia" w:hAnsiTheme="majorHAnsi" w:cstheme="majorBidi"/>
              <w:sz w:val="24"/>
              <w:szCs w:val="24"/>
            </w:rPr>
          </w:pPr>
          <w:r w:rsidRPr="001873AF">
            <w:rPr>
              <w:noProof/>
              <w:sz w:val="24"/>
              <w:szCs w:val="24"/>
              <w:lang w:val="en-GB" w:eastAsia="en-GB"/>
            </w:rPr>
            <w:drawing>
              <wp:inline distT="0" distB="0" distL="0" distR="0" wp14:anchorId="6F4FF2D9" wp14:editId="0FA6E587">
                <wp:extent cx="1745948" cy="1440000"/>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ton Borough Counci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5948" cy="1440000"/>
                        </a:xfrm>
                        <a:prstGeom prst="rect">
                          <a:avLst/>
                        </a:prstGeom>
                      </pic:spPr>
                    </pic:pic>
                  </a:graphicData>
                </a:graphic>
              </wp:inline>
            </w:drawing>
          </w:r>
        </w:p>
        <w:p w14:paraId="17F1CC08" w14:textId="6B6FA8A8" w:rsidR="001873AF" w:rsidRDefault="001873AF" w:rsidP="00F85798">
          <w:pPr>
            <w:pStyle w:val="NoSpacing"/>
            <w:spacing w:before="240"/>
            <w:jc w:val="center"/>
            <w:rPr>
              <w:rFonts w:asciiTheme="majorHAnsi" w:eastAsiaTheme="majorEastAsia" w:hAnsiTheme="majorHAnsi" w:cstheme="majorBidi"/>
              <w:sz w:val="24"/>
              <w:szCs w:val="24"/>
            </w:rPr>
          </w:pPr>
        </w:p>
        <w:p w14:paraId="35A6214E" w14:textId="415872F2" w:rsidR="001873AF" w:rsidRDefault="001873AF" w:rsidP="00F85798">
          <w:pPr>
            <w:pStyle w:val="NoSpacing"/>
            <w:spacing w:before="240"/>
            <w:jc w:val="center"/>
            <w:rPr>
              <w:rFonts w:asciiTheme="majorHAnsi" w:eastAsiaTheme="majorEastAsia" w:hAnsiTheme="majorHAnsi" w:cstheme="majorBidi"/>
              <w:sz w:val="24"/>
              <w:szCs w:val="24"/>
            </w:rPr>
          </w:pPr>
        </w:p>
        <w:p w14:paraId="793E7DEF" w14:textId="77777777" w:rsidR="001873AF" w:rsidRPr="001873AF" w:rsidRDefault="001873AF" w:rsidP="00F85798">
          <w:pPr>
            <w:pStyle w:val="NoSpacing"/>
            <w:spacing w:before="240"/>
            <w:jc w:val="center"/>
            <w:rPr>
              <w:rFonts w:asciiTheme="majorHAnsi" w:eastAsiaTheme="majorEastAsia" w:hAnsiTheme="majorHAnsi" w:cstheme="majorBidi"/>
              <w:sz w:val="24"/>
              <w:szCs w:val="24"/>
            </w:rPr>
          </w:pPr>
        </w:p>
        <w:p w14:paraId="6F4FF214" w14:textId="7E77ADF2" w:rsidR="00E43549" w:rsidRPr="008C6AFF" w:rsidRDefault="00E43549" w:rsidP="00F85798">
          <w:pPr>
            <w:pStyle w:val="NoSpacing"/>
            <w:jc w:val="center"/>
            <w:rPr>
              <w:rFonts w:asciiTheme="majorHAnsi" w:eastAsiaTheme="majorEastAsia" w:hAnsiTheme="majorHAnsi" w:cstheme="majorBidi"/>
              <w:b/>
              <w:color w:val="1F497D" w:themeColor="text2"/>
              <w:sz w:val="56"/>
              <w:szCs w:val="56"/>
            </w:rPr>
          </w:pPr>
          <w:r>
            <w:rPr>
              <w:noProof/>
              <w:lang w:val="en-GB" w:eastAsia="en-GB"/>
            </w:rPr>
            <mc:AlternateContent>
              <mc:Choice Requires="wps">
                <w:drawing>
                  <wp:anchor distT="0" distB="0" distL="114300" distR="114300" simplePos="0" relativeHeight="251658243" behindDoc="0" locked="0" layoutInCell="0" allowOverlap="1" wp14:anchorId="6F4FF2DB" wp14:editId="6F4FF2DC">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630267C" id="Rectangle 5" o:spid="_x0000_s1026" style="position:absolute;margin-left:0;margin-top:0;width:7.15pt;height:831.2pt;z-index:251658243;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58242" behindDoc="0" locked="0" layoutInCell="0" allowOverlap="1" wp14:anchorId="6F4FF2DD" wp14:editId="6F4FF2DE">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8E58A07" id="Rectangle 4" o:spid="_x0000_s1026" style="position:absolute;margin-left:0;margin-top:0;width:7.15pt;height:831.2pt;z-index:25165824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58241" behindDoc="0" locked="0" layoutInCell="0" allowOverlap="1" wp14:anchorId="6F4FF2DF" wp14:editId="6F4FF2E0">
                    <wp:simplePos x="0" y="0"/>
                    <wp:positionH relativeFrom="page">
                      <wp:align>center</wp:align>
                    </wp:positionH>
                    <wp:positionV relativeFrom="topMargin">
                      <wp:align>top</wp:align>
                    </wp:positionV>
                    <wp:extent cx="8161020" cy="822960"/>
                    <wp:effectExtent l="0" t="0" r="24765"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1D5DF21" id="Rectangle 3" o:spid="_x0000_s1026" style="position:absolute;margin-left:0;margin-top:0;width:642.6pt;height:64.8pt;z-index:251658241;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" o:allowincell="f" fillcolor="#4f81bd [3204]" strokecolor="#4f81bd [3204]">
                    <w10:wrap anchorx="page" anchory="margin"/>
                  </v:rect>
                </w:pict>
              </mc:Fallback>
            </mc:AlternateContent>
          </w:r>
          <w:sdt>
            <w:sdtPr>
              <w:rPr>
                <w:rFonts w:asciiTheme="majorHAnsi" w:eastAsiaTheme="majorEastAsia" w:hAnsiTheme="majorHAnsi" w:cstheme="majorBidi"/>
                <w:b/>
                <w:color w:val="1F497D" w:themeColor="text2"/>
                <w:sz w:val="56"/>
                <w:szCs w:val="56"/>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r w:rsidR="00CA510C" w:rsidRPr="008C6AFF">
                <w:rPr>
                  <w:rFonts w:asciiTheme="majorHAnsi" w:eastAsiaTheme="majorEastAsia" w:hAnsiTheme="majorHAnsi" w:cstheme="majorBidi"/>
                  <w:b/>
                  <w:color w:val="1F497D" w:themeColor="text2"/>
                  <w:sz w:val="56"/>
                  <w:szCs w:val="56"/>
                </w:rPr>
                <w:t>Managing Concerns around People in Positions of Trust with Adults who have Care and Support Needs</w:t>
              </w:r>
            </w:sdtContent>
          </w:sdt>
        </w:p>
        <w:p w14:paraId="5C1D6FB9" w14:textId="16628E30" w:rsidR="001873AF" w:rsidRPr="001873AF" w:rsidRDefault="008C6AFF" w:rsidP="001873AF">
          <w:pPr>
            <w:pStyle w:val="NoSpacing"/>
            <w:spacing w:before="1440" w:after="240"/>
            <w:jc w:val="center"/>
            <w:rPr>
              <w:rFonts w:asciiTheme="majorHAnsi" w:eastAsiaTheme="majorEastAsia" w:hAnsiTheme="majorHAnsi" w:cstheme="majorBidi"/>
              <w:b/>
              <w:color w:val="4F81BD" w:themeColor="accent1"/>
              <w:sz w:val="52"/>
              <w:szCs w:val="44"/>
            </w:rPr>
          </w:pPr>
          <w:r>
            <w:rPr>
              <w:rFonts w:asciiTheme="majorHAnsi" w:eastAsiaTheme="majorEastAsia" w:hAnsiTheme="majorHAnsi" w:cstheme="majorBidi"/>
              <w:b/>
              <w:color w:val="4F81BD" w:themeColor="accent1"/>
              <w:sz w:val="52"/>
              <w:szCs w:val="44"/>
            </w:rPr>
            <w:t>Policy and Procedures</w:t>
          </w:r>
        </w:p>
        <w:p w14:paraId="2896EF5F" w14:textId="0818187C" w:rsidR="008C6AFF" w:rsidRDefault="00570F09" w:rsidP="008C6AFF">
          <w:pPr>
            <w:pStyle w:val="NoSpacing"/>
            <w:spacing w:before="1440" w:after="360"/>
            <w:jc w:val="center"/>
            <w:rPr>
              <w:rFonts w:asciiTheme="majorHAnsi" w:eastAsiaTheme="majorEastAsia" w:hAnsiTheme="majorHAnsi" w:cstheme="majorBidi"/>
              <w:b/>
              <w:color w:val="1F497D" w:themeColor="text2"/>
              <w:sz w:val="44"/>
              <w:szCs w:val="36"/>
            </w:rPr>
          </w:pPr>
          <w:r>
            <w:rPr>
              <w:rFonts w:asciiTheme="majorHAnsi" w:eastAsiaTheme="majorEastAsia" w:hAnsiTheme="majorHAnsi" w:cstheme="majorBidi"/>
              <w:b/>
              <w:color w:val="1F497D" w:themeColor="text2"/>
              <w:sz w:val="44"/>
              <w:szCs w:val="36"/>
            </w:rPr>
            <w:t xml:space="preserve">April </w:t>
          </w:r>
          <w:r w:rsidR="002545D3">
            <w:rPr>
              <w:rFonts w:asciiTheme="majorHAnsi" w:eastAsiaTheme="majorEastAsia" w:hAnsiTheme="majorHAnsi" w:cstheme="majorBidi"/>
              <w:b/>
              <w:color w:val="1F497D" w:themeColor="text2"/>
              <w:sz w:val="44"/>
              <w:szCs w:val="36"/>
            </w:rPr>
            <w:t>2025</w:t>
          </w:r>
        </w:p>
        <w:p w14:paraId="5F36FA50" w14:textId="14F57BB1" w:rsidR="001873AF" w:rsidRPr="007915B5" w:rsidRDefault="001873AF" w:rsidP="008C6AFF">
          <w:pPr>
            <w:pStyle w:val="NoSpacing"/>
            <w:spacing w:before="1440" w:after="360"/>
            <w:jc w:val="center"/>
            <w:rPr>
              <w:rFonts w:ascii="Century Gothic" w:eastAsiaTheme="majorEastAsia" w:hAnsi="Century Gothic" w:cstheme="majorBidi"/>
              <w:b/>
              <w:color w:val="365F91" w:themeColor="accent1" w:themeShade="BF"/>
              <w:sz w:val="24"/>
              <w:szCs w:val="36"/>
            </w:rPr>
          </w:pPr>
          <w:r w:rsidRPr="007915B5">
            <w:rPr>
              <w:rFonts w:ascii="Century Gothic" w:eastAsiaTheme="majorEastAsia" w:hAnsi="Century Gothic" w:cstheme="majorBidi"/>
              <w:b/>
              <w:color w:val="365F91" w:themeColor="accent1" w:themeShade="BF"/>
              <w:sz w:val="24"/>
              <w:szCs w:val="36"/>
            </w:rPr>
            <w:t>Policy, Performance and Customer Care Team</w:t>
          </w:r>
        </w:p>
        <w:p w14:paraId="6F4FF223" w14:textId="455B7D77" w:rsidR="00F85798" w:rsidRPr="006B2AC2" w:rsidRDefault="001873AF" w:rsidP="001873AF">
          <w:pPr>
            <w:pStyle w:val="NoSpacing"/>
            <w:spacing w:after="120"/>
            <w:jc w:val="center"/>
            <w:rPr>
              <w:rFonts w:ascii="Century Gothic" w:eastAsiaTheme="majorEastAsia" w:hAnsi="Century Gothic" w:cstheme="majorBidi"/>
              <w:b/>
              <w:color w:val="365F91" w:themeColor="accent1" w:themeShade="BF"/>
              <w:sz w:val="24"/>
              <w:szCs w:val="36"/>
            </w:rPr>
          </w:pPr>
          <w:r w:rsidRPr="007915B5">
            <w:rPr>
              <w:rFonts w:ascii="Century Gothic" w:eastAsiaTheme="majorEastAsia" w:hAnsi="Century Gothic" w:cstheme="majorBidi"/>
              <w:b/>
              <w:color w:val="365F91" w:themeColor="accent1" w:themeShade="BF"/>
              <w:sz w:val="24"/>
              <w:szCs w:val="36"/>
            </w:rPr>
            <w:t xml:space="preserve">Adult Social Care | </w:t>
          </w:r>
          <w:r w:rsidR="00A61A7E">
            <w:rPr>
              <w:rFonts w:ascii="Century Gothic" w:eastAsiaTheme="majorEastAsia" w:hAnsi="Century Gothic" w:cstheme="majorBidi"/>
              <w:b/>
              <w:color w:val="365F91" w:themeColor="accent1" w:themeShade="BF"/>
              <w:sz w:val="24"/>
              <w:szCs w:val="36"/>
            </w:rPr>
            <w:t>Adu</w:t>
          </w:r>
          <w:r w:rsidR="002545D3">
            <w:rPr>
              <w:rFonts w:ascii="Century Gothic" w:eastAsiaTheme="majorEastAsia" w:hAnsi="Century Gothic" w:cstheme="majorBidi"/>
              <w:b/>
              <w:color w:val="365F91" w:themeColor="accent1" w:themeShade="BF"/>
              <w:sz w:val="24"/>
              <w:szCs w:val="36"/>
            </w:rPr>
            <w:t>l</w:t>
          </w:r>
          <w:r w:rsidR="00A61A7E">
            <w:rPr>
              <w:rFonts w:ascii="Century Gothic" w:eastAsiaTheme="majorEastAsia" w:hAnsi="Century Gothic" w:cstheme="majorBidi"/>
              <w:b/>
              <w:color w:val="365F91" w:themeColor="accent1" w:themeShade="BF"/>
              <w:sz w:val="24"/>
              <w:szCs w:val="36"/>
            </w:rPr>
            <w:t>ts</w:t>
          </w:r>
          <w:r w:rsidRPr="007915B5">
            <w:rPr>
              <w:rFonts w:ascii="Century Gothic" w:eastAsiaTheme="majorEastAsia" w:hAnsi="Century Gothic" w:cstheme="majorBidi"/>
              <w:b/>
              <w:color w:val="365F91" w:themeColor="accent1" w:themeShade="BF"/>
              <w:sz w:val="24"/>
              <w:szCs w:val="36"/>
            </w:rPr>
            <w:t xml:space="preserve"> Directorate</w:t>
          </w:r>
        </w:p>
        <w:p w14:paraId="6F4FF224" w14:textId="77777777" w:rsidR="00E43549" w:rsidRDefault="00E43549">
          <w:r>
            <w:rPr>
              <w:noProof/>
              <w:lang w:eastAsia="en-GB"/>
            </w:rPr>
            <mc:AlternateContent>
              <mc:Choice Requires="wps">
                <w:drawing>
                  <wp:anchor distT="0" distB="0" distL="114300" distR="114300" simplePos="0" relativeHeight="251658240" behindDoc="0" locked="0" layoutInCell="0" allowOverlap="1" wp14:anchorId="6F4FF2E1" wp14:editId="6F4FF2E2">
                    <wp:simplePos x="0" y="0"/>
                    <wp:positionH relativeFrom="page">
                      <wp:align>center</wp:align>
                    </wp:positionH>
                    <wp:positionV relativeFrom="page">
                      <wp:posOffset>9876790</wp:posOffset>
                    </wp:positionV>
                    <wp:extent cx="8161020" cy="817880"/>
                    <wp:effectExtent l="0" t="0" r="247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8465401" id="Rectangle 2" o:spid="_x0000_s1026" style="position:absolute;margin-left:0;margin-top:777.7pt;width:642.6pt;height:64.4pt;z-index:251658240;visibility:visible;mso-wrap-style:square;mso-width-percent:1050;mso-height-percent:900;mso-wrap-distance-left:9pt;mso-wrap-distance-top:0;mso-wrap-distance-right:9pt;mso-wrap-distance-bottom:0;mso-position-horizontal:center;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" o:allowincell="f" fillcolor="#4f81bd [3204]" strokecolor="#4f81bd [3204]">
                    <w10:wrap anchorx="page" anchory="page"/>
                  </v:rect>
                </w:pict>
              </mc:Fallback>
            </mc:AlternateContent>
          </w:r>
          <w:r>
            <w:br w:type="page"/>
          </w:r>
        </w:p>
      </w:sdtContent>
    </w:sdt>
    <w:sdt>
      <w:sdtPr>
        <w:rPr>
          <w:rFonts w:asciiTheme="minorHAnsi" w:eastAsiaTheme="minorHAnsi" w:hAnsiTheme="minorHAnsi" w:cstheme="minorBidi"/>
          <w:b w:val="0"/>
          <w:bCs w:val="0"/>
          <w:color w:val="auto"/>
          <w:sz w:val="22"/>
          <w:szCs w:val="22"/>
          <w:lang w:val="en-GB" w:eastAsia="en-US"/>
        </w:rPr>
        <w:id w:val="12421351"/>
        <w:docPartObj>
          <w:docPartGallery w:val="Table of Contents"/>
          <w:docPartUnique/>
        </w:docPartObj>
      </w:sdtPr>
      <w:sdtEndPr>
        <w:rPr>
          <w:noProof/>
          <w:sz w:val="24"/>
          <w:highlight w:val="yellow"/>
        </w:rPr>
      </w:sdtEndPr>
      <w:sdtContent>
        <w:p w14:paraId="6F4FF225" w14:textId="77777777" w:rsidR="00E43549" w:rsidRPr="00A41D66" w:rsidRDefault="00E43549">
          <w:pPr>
            <w:pStyle w:val="TOCHeading"/>
          </w:pPr>
          <w:r w:rsidRPr="00A41D66">
            <w:t>Contents</w:t>
          </w:r>
        </w:p>
        <w:p w14:paraId="6363EF29" w14:textId="19FABA0C" w:rsidR="00E52639" w:rsidRDefault="00E43549">
          <w:pPr>
            <w:pStyle w:val="TOC1"/>
            <w:tabs>
              <w:tab w:val="right" w:leader="dot" w:pos="9016"/>
            </w:tabs>
            <w:rPr>
              <w:rFonts w:eastAsiaTheme="minorEastAsia"/>
              <w:noProof/>
              <w:kern w:val="2"/>
              <w:szCs w:val="24"/>
              <w:lang w:eastAsia="en-GB"/>
              <w14:ligatures w14:val="standardContextual"/>
            </w:rPr>
          </w:pPr>
          <w:r w:rsidRPr="00A41D66">
            <w:fldChar w:fldCharType="begin"/>
          </w:r>
          <w:r w:rsidRPr="00A41D66">
            <w:instrText xml:space="preserve"> TOC \o "1-3" \h \z \u </w:instrText>
          </w:r>
          <w:r w:rsidRPr="00A41D66">
            <w:fldChar w:fldCharType="separate"/>
          </w:r>
          <w:hyperlink w:anchor="_Toc189659837" w:history="1">
            <w:r w:rsidR="00E52639" w:rsidRPr="001E09CB">
              <w:rPr>
                <w:rStyle w:val="Hyperlink"/>
                <w:noProof/>
              </w:rPr>
              <w:t>Policy Summary</w:t>
            </w:r>
            <w:r w:rsidR="00E52639">
              <w:rPr>
                <w:noProof/>
                <w:webHidden/>
              </w:rPr>
              <w:tab/>
            </w:r>
            <w:r w:rsidR="00E52639">
              <w:rPr>
                <w:noProof/>
                <w:webHidden/>
              </w:rPr>
              <w:fldChar w:fldCharType="begin"/>
            </w:r>
            <w:r w:rsidR="00E52639">
              <w:rPr>
                <w:noProof/>
                <w:webHidden/>
              </w:rPr>
              <w:instrText xml:space="preserve"> PAGEREF _Toc189659837 \h </w:instrText>
            </w:r>
            <w:r w:rsidR="00E52639">
              <w:rPr>
                <w:noProof/>
                <w:webHidden/>
              </w:rPr>
            </w:r>
            <w:r w:rsidR="00E52639">
              <w:rPr>
                <w:noProof/>
                <w:webHidden/>
              </w:rPr>
              <w:fldChar w:fldCharType="separate"/>
            </w:r>
            <w:r w:rsidR="00E52639">
              <w:rPr>
                <w:noProof/>
                <w:webHidden/>
              </w:rPr>
              <w:t>2</w:t>
            </w:r>
            <w:r w:rsidR="00E52639">
              <w:rPr>
                <w:noProof/>
                <w:webHidden/>
              </w:rPr>
              <w:fldChar w:fldCharType="end"/>
            </w:r>
          </w:hyperlink>
        </w:p>
        <w:p w14:paraId="0BDAF075" w14:textId="556FE7D9" w:rsidR="00E52639" w:rsidRDefault="00E52639">
          <w:pPr>
            <w:pStyle w:val="TOC1"/>
            <w:tabs>
              <w:tab w:val="right" w:leader="dot" w:pos="9016"/>
            </w:tabs>
            <w:rPr>
              <w:rFonts w:eastAsiaTheme="minorEastAsia"/>
              <w:noProof/>
              <w:kern w:val="2"/>
              <w:szCs w:val="24"/>
              <w:lang w:eastAsia="en-GB"/>
              <w14:ligatures w14:val="standardContextual"/>
            </w:rPr>
          </w:pPr>
          <w:hyperlink w:anchor="_Toc189659838" w:history="1">
            <w:r w:rsidRPr="001E09CB">
              <w:rPr>
                <w:rStyle w:val="Hyperlink"/>
                <w:noProof/>
              </w:rPr>
              <w:t>Acknowledgements</w:t>
            </w:r>
            <w:r>
              <w:rPr>
                <w:noProof/>
                <w:webHidden/>
              </w:rPr>
              <w:tab/>
            </w:r>
            <w:r>
              <w:rPr>
                <w:noProof/>
                <w:webHidden/>
              </w:rPr>
              <w:fldChar w:fldCharType="begin"/>
            </w:r>
            <w:r>
              <w:rPr>
                <w:noProof/>
                <w:webHidden/>
              </w:rPr>
              <w:instrText xml:space="preserve"> PAGEREF _Toc189659838 \h </w:instrText>
            </w:r>
            <w:r>
              <w:rPr>
                <w:noProof/>
                <w:webHidden/>
              </w:rPr>
            </w:r>
            <w:r>
              <w:rPr>
                <w:noProof/>
                <w:webHidden/>
              </w:rPr>
              <w:fldChar w:fldCharType="separate"/>
            </w:r>
            <w:r>
              <w:rPr>
                <w:noProof/>
                <w:webHidden/>
              </w:rPr>
              <w:t>3</w:t>
            </w:r>
            <w:r>
              <w:rPr>
                <w:noProof/>
                <w:webHidden/>
              </w:rPr>
              <w:fldChar w:fldCharType="end"/>
            </w:r>
          </w:hyperlink>
        </w:p>
        <w:p w14:paraId="694775F1" w14:textId="6F5FD7A2" w:rsidR="00E52639" w:rsidRDefault="00E52639">
          <w:pPr>
            <w:pStyle w:val="TOC1"/>
            <w:tabs>
              <w:tab w:val="right" w:leader="dot" w:pos="9016"/>
            </w:tabs>
            <w:rPr>
              <w:rFonts w:eastAsiaTheme="minorEastAsia"/>
              <w:noProof/>
              <w:kern w:val="2"/>
              <w:szCs w:val="24"/>
              <w:lang w:eastAsia="en-GB"/>
              <w14:ligatures w14:val="standardContextual"/>
            </w:rPr>
          </w:pPr>
          <w:hyperlink w:anchor="_Toc189659839" w:history="1">
            <w:r w:rsidRPr="001E09CB">
              <w:rPr>
                <w:rStyle w:val="Hyperlink"/>
                <w:noProof/>
              </w:rPr>
              <w:t>Glossary</w:t>
            </w:r>
            <w:r>
              <w:rPr>
                <w:noProof/>
                <w:webHidden/>
              </w:rPr>
              <w:tab/>
            </w:r>
            <w:r>
              <w:rPr>
                <w:noProof/>
                <w:webHidden/>
              </w:rPr>
              <w:fldChar w:fldCharType="begin"/>
            </w:r>
            <w:r>
              <w:rPr>
                <w:noProof/>
                <w:webHidden/>
              </w:rPr>
              <w:instrText xml:space="preserve"> PAGEREF _Toc189659839 \h </w:instrText>
            </w:r>
            <w:r>
              <w:rPr>
                <w:noProof/>
                <w:webHidden/>
              </w:rPr>
            </w:r>
            <w:r>
              <w:rPr>
                <w:noProof/>
                <w:webHidden/>
              </w:rPr>
              <w:fldChar w:fldCharType="separate"/>
            </w:r>
            <w:r>
              <w:rPr>
                <w:noProof/>
                <w:webHidden/>
              </w:rPr>
              <w:t>3</w:t>
            </w:r>
            <w:r>
              <w:rPr>
                <w:noProof/>
                <w:webHidden/>
              </w:rPr>
              <w:fldChar w:fldCharType="end"/>
            </w:r>
          </w:hyperlink>
        </w:p>
        <w:p w14:paraId="75849CA7" w14:textId="6C489C26" w:rsidR="00E52639" w:rsidRDefault="00E52639">
          <w:pPr>
            <w:pStyle w:val="TOC1"/>
            <w:tabs>
              <w:tab w:val="right" w:leader="dot" w:pos="9016"/>
            </w:tabs>
            <w:rPr>
              <w:rFonts w:eastAsiaTheme="minorEastAsia"/>
              <w:noProof/>
              <w:kern w:val="2"/>
              <w:szCs w:val="24"/>
              <w:lang w:eastAsia="en-GB"/>
              <w14:ligatures w14:val="standardContextual"/>
            </w:rPr>
          </w:pPr>
          <w:hyperlink w:anchor="_Toc189659840" w:history="1">
            <w:r w:rsidRPr="001E09CB">
              <w:rPr>
                <w:rStyle w:val="Hyperlink"/>
                <w:noProof/>
              </w:rPr>
              <w:t>1. Introduction</w:t>
            </w:r>
            <w:r>
              <w:rPr>
                <w:noProof/>
                <w:webHidden/>
              </w:rPr>
              <w:tab/>
            </w:r>
            <w:r>
              <w:rPr>
                <w:noProof/>
                <w:webHidden/>
              </w:rPr>
              <w:fldChar w:fldCharType="begin"/>
            </w:r>
            <w:r>
              <w:rPr>
                <w:noProof/>
                <w:webHidden/>
              </w:rPr>
              <w:instrText xml:space="preserve"> PAGEREF _Toc189659840 \h </w:instrText>
            </w:r>
            <w:r>
              <w:rPr>
                <w:noProof/>
                <w:webHidden/>
              </w:rPr>
            </w:r>
            <w:r>
              <w:rPr>
                <w:noProof/>
                <w:webHidden/>
              </w:rPr>
              <w:fldChar w:fldCharType="separate"/>
            </w:r>
            <w:r>
              <w:rPr>
                <w:noProof/>
                <w:webHidden/>
              </w:rPr>
              <w:t>4</w:t>
            </w:r>
            <w:r>
              <w:rPr>
                <w:noProof/>
                <w:webHidden/>
              </w:rPr>
              <w:fldChar w:fldCharType="end"/>
            </w:r>
          </w:hyperlink>
        </w:p>
        <w:p w14:paraId="7B7AA767" w14:textId="1AC0D005" w:rsidR="00E52639" w:rsidRDefault="00E52639">
          <w:pPr>
            <w:pStyle w:val="TOC1"/>
            <w:tabs>
              <w:tab w:val="right" w:leader="dot" w:pos="9016"/>
            </w:tabs>
            <w:rPr>
              <w:rFonts w:eastAsiaTheme="minorEastAsia"/>
              <w:noProof/>
              <w:kern w:val="2"/>
              <w:szCs w:val="24"/>
              <w:lang w:eastAsia="en-GB"/>
              <w14:ligatures w14:val="standardContextual"/>
            </w:rPr>
          </w:pPr>
          <w:hyperlink w:anchor="_Toc189659841" w:history="1">
            <w:r w:rsidRPr="001E09CB">
              <w:rPr>
                <w:rStyle w:val="Hyperlink"/>
                <w:noProof/>
              </w:rPr>
              <w:t>2.  Responsibilities</w:t>
            </w:r>
            <w:r>
              <w:rPr>
                <w:noProof/>
                <w:webHidden/>
              </w:rPr>
              <w:tab/>
            </w:r>
            <w:r>
              <w:rPr>
                <w:noProof/>
                <w:webHidden/>
              </w:rPr>
              <w:fldChar w:fldCharType="begin"/>
            </w:r>
            <w:r>
              <w:rPr>
                <w:noProof/>
                <w:webHidden/>
              </w:rPr>
              <w:instrText xml:space="preserve"> PAGEREF _Toc189659841 \h </w:instrText>
            </w:r>
            <w:r>
              <w:rPr>
                <w:noProof/>
                <w:webHidden/>
              </w:rPr>
            </w:r>
            <w:r>
              <w:rPr>
                <w:noProof/>
                <w:webHidden/>
              </w:rPr>
              <w:fldChar w:fldCharType="separate"/>
            </w:r>
            <w:r>
              <w:rPr>
                <w:noProof/>
                <w:webHidden/>
              </w:rPr>
              <w:t>5</w:t>
            </w:r>
            <w:r>
              <w:rPr>
                <w:noProof/>
                <w:webHidden/>
              </w:rPr>
              <w:fldChar w:fldCharType="end"/>
            </w:r>
          </w:hyperlink>
        </w:p>
        <w:p w14:paraId="2B751A9F" w14:textId="153F0D7C" w:rsidR="00E52639" w:rsidRDefault="00E52639">
          <w:pPr>
            <w:pStyle w:val="TOC1"/>
            <w:tabs>
              <w:tab w:val="right" w:leader="dot" w:pos="9016"/>
            </w:tabs>
            <w:rPr>
              <w:rFonts w:eastAsiaTheme="minorEastAsia"/>
              <w:noProof/>
              <w:kern w:val="2"/>
              <w:szCs w:val="24"/>
              <w:lang w:eastAsia="en-GB"/>
              <w14:ligatures w14:val="standardContextual"/>
            </w:rPr>
          </w:pPr>
          <w:hyperlink w:anchor="_Toc189659842" w:history="1">
            <w:r w:rsidRPr="001E09CB">
              <w:rPr>
                <w:rStyle w:val="Hyperlink"/>
                <w:noProof/>
              </w:rPr>
              <w:t>3.  Information Sharing</w:t>
            </w:r>
            <w:r>
              <w:rPr>
                <w:noProof/>
                <w:webHidden/>
              </w:rPr>
              <w:tab/>
            </w:r>
            <w:r>
              <w:rPr>
                <w:noProof/>
                <w:webHidden/>
              </w:rPr>
              <w:fldChar w:fldCharType="begin"/>
            </w:r>
            <w:r>
              <w:rPr>
                <w:noProof/>
                <w:webHidden/>
              </w:rPr>
              <w:instrText xml:space="preserve"> PAGEREF _Toc189659842 \h </w:instrText>
            </w:r>
            <w:r>
              <w:rPr>
                <w:noProof/>
                <w:webHidden/>
              </w:rPr>
            </w:r>
            <w:r>
              <w:rPr>
                <w:noProof/>
                <w:webHidden/>
              </w:rPr>
              <w:fldChar w:fldCharType="separate"/>
            </w:r>
            <w:r>
              <w:rPr>
                <w:noProof/>
                <w:webHidden/>
              </w:rPr>
              <w:t>8</w:t>
            </w:r>
            <w:r>
              <w:rPr>
                <w:noProof/>
                <w:webHidden/>
              </w:rPr>
              <w:fldChar w:fldCharType="end"/>
            </w:r>
          </w:hyperlink>
        </w:p>
        <w:p w14:paraId="468B1782" w14:textId="0404136A" w:rsidR="00E52639" w:rsidRDefault="00E52639">
          <w:pPr>
            <w:pStyle w:val="TOC1"/>
            <w:tabs>
              <w:tab w:val="right" w:leader="dot" w:pos="9016"/>
            </w:tabs>
            <w:rPr>
              <w:rFonts w:eastAsiaTheme="minorEastAsia"/>
              <w:noProof/>
              <w:kern w:val="2"/>
              <w:szCs w:val="24"/>
              <w:lang w:eastAsia="en-GB"/>
              <w14:ligatures w14:val="standardContextual"/>
            </w:rPr>
          </w:pPr>
          <w:hyperlink w:anchor="_Toc189659843" w:history="1">
            <w:r w:rsidRPr="001E09CB">
              <w:rPr>
                <w:rStyle w:val="Hyperlink"/>
                <w:noProof/>
              </w:rPr>
              <w:t>4.  Legal Framework</w:t>
            </w:r>
            <w:r>
              <w:rPr>
                <w:noProof/>
                <w:webHidden/>
              </w:rPr>
              <w:tab/>
            </w:r>
            <w:r>
              <w:rPr>
                <w:noProof/>
                <w:webHidden/>
              </w:rPr>
              <w:fldChar w:fldCharType="begin"/>
            </w:r>
            <w:r>
              <w:rPr>
                <w:noProof/>
                <w:webHidden/>
              </w:rPr>
              <w:instrText xml:space="preserve"> PAGEREF _Toc189659843 \h </w:instrText>
            </w:r>
            <w:r>
              <w:rPr>
                <w:noProof/>
                <w:webHidden/>
              </w:rPr>
            </w:r>
            <w:r>
              <w:rPr>
                <w:noProof/>
                <w:webHidden/>
              </w:rPr>
              <w:fldChar w:fldCharType="separate"/>
            </w:r>
            <w:r>
              <w:rPr>
                <w:noProof/>
                <w:webHidden/>
              </w:rPr>
              <w:t>8</w:t>
            </w:r>
            <w:r>
              <w:rPr>
                <w:noProof/>
                <w:webHidden/>
              </w:rPr>
              <w:fldChar w:fldCharType="end"/>
            </w:r>
          </w:hyperlink>
        </w:p>
        <w:p w14:paraId="6111B695" w14:textId="6D69453E" w:rsidR="00E52639" w:rsidRDefault="00E52639">
          <w:pPr>
            <w:pStyle w:val="TOC1"/>
            <w:tabs>
              <w:tab w:val="right" w:leader="dot" w:pos="9016"/>
            </w:tabs>
            <w:rPr>
              <w:rFonts w:eastAsiaTheme="minorEastAsia"/>
              <w:noProof/>
              <w:kern w:val="2"/>
              <w:szCs w:val="24"/>
              <w:lang w:eastAsia="en-GB"/>
              <w14:ligatures w14:val="standardContextual"/>
            </w:rPr>
          </w:pPr>
          <w:hyperlink w:anchor="_Toc189659844" w:history="1">
            <w:r w:rsidRPr="001E09CB">
              <w:rPr>
                <w:rStyle w:val="Hyperlink"/>
                <w:noProof/>
              </w:rPr>
              <w:t>5. PIPOT Process</w:t>
            </w:r>
            <w:r>
              <w:rPr>
                <w:noProof/>
                <w:webHidden/>
              </w:rPr>
              <w:tab/>
            </w:r>
            <w:r>
              <w:rPr>
                <w:noProof/>
                <w:webHidden/>
              </w:rPr>
              <w:fldChar w:fldCharType="begin"/>
            </w:r>
            <w:r>
              <w:rPr>
                <w:noProof/>
                <w:webHidden/>
              </w:rPr>
              <w:instrText xml:space="preserve"> PAGEREF _Toc189659844 \h </w:instrText>
            </w:r>
            <w:r>
              <w:rPr>
                <w:noProof/>
                <w:webHidden/>
              </w:rPr>
            </w:r>
            <w:r>
              <w:rPr>
                <w:noProof/>
                <w:webHidden/>
              </w:rPr>
              <w:fldChar w:fldCharType="separate"/>
            </w:r>
            <w:r>
              <w:rPr>
                <w:noProof/>
                <w:webHidden/>
              </w:rPr>
              <w:t>10</w:t>
            </w:r>
            <w:r>
              <w:rPr>
                <w:noProof/>
                <w:webHidden/>
              </w:rPr>
              <w:fldChar w:fldCharType="end"/>
            </w:r>
          </w:hyperlink>
        </w:p>
        <w:p w14:paraId="7F966298" w14:textId="40C72360" w:rsidR="00E52639" w:rsidRDefault="00E52639">
          <w:pPr>
            <w:pStyle w:val="TOC1"/>
            <w:tabs>
              <w:tab w:val="right" w:leader="dot" w:pos="9016"/>
            </w:tabs>
            <w:rPr>
              <w:rFonts w:eastAsiaTheme="minorEastAsia"/>
              <w:noProof/>
              <w:kern w:val="2"/>
              <w:szCs w:val="24"/>
              <w:lang w:eastAsia="en-GB"/>
              <w14:ligatures w14:val="standardContextual"/>
            </w:rPr>
          </w:pPr>
          <w:hyperlink w:anchor="_Toc189659845" w:history="1">
            <w:r w:rsidRPr="001E09CB">
              <w:rPr>
                <w:rStyle w:val="Hyperlink"/>
                <w:noProof/>
              </w:rPr>
              <w:t>References</w:t>
            </w:r>
            <w:r>
              <w:rPr>
                <w:noProof/>
                <w:webHidden/>
              </w:rPr>
              <w:tab/>
            </w:r>
            <w:r>
              <w:rPr>
                <w:noProof/>
                <w:webHidden/>
              </w:rPr>
              <w:fldChar w:fldCharType="begin"/>
            </w:r>
            <w:r>
              <w:rPr>
                <w:noProof/>
                <w:webHidden/>
              </w:rPr>
              <w:instrText xml:space="preserve"> PAGEREF _Toc189659845 \h </w:instrText>
            </w:r>
            <w:r>
              <w:rPr>
                <w:noProof/>
                <w:webHidden/>
              </w:rPr>
            </w:r>
            <w:r>
              <w:rPr>
                <w:noProof/>
                <w:webHidden/>
              </w:rPr>
              <w:fldChar w:fldCharType="separate"/>
            </w:r>
            <w:r>
              <w:rPr>
                <w:noProof/>
                <w:webHidden/>
              </w:rPr>
              <w:t>10</w:t>
            </w:r>
            <w:r>
              <w:rPr>
                <w:noProof/>
                <w:webHidden/>
              </w:rPr>
              <w:fldChar w:fldCharType="end"/>
            </w:r>
          </w:hyperlink>
        </w:p>
        <w:p w14:paraId="475153B6" w14:textId="5F949B02" w:rsidR="00E52639" w:rsidRDefault="00E52639">
          <w:pPr>
            <w:pStyle w:val="TOC1"/>
            <w:tabs>
              <w:tab w:val="right" w:leader="dot" w:pos="9016"/>
            </w:tabs>
            <w:rPr>
              <w:rFonts w:eastAsiaTheme="minorEastAsia"/>
              <w:noProof/>
              <w:kern w:val="2"/>
              <w:szCs w:val="24"/>
              <w:lang w:eastAsia="en-GB"/>
              <w14:ligatures w14:val="standardContextual"/>
            </w:rPr>
          </w:pPr>
          <w:hyperlink w:anchor="_Toc189659846" w:history="1">
            <w:r w:rsidRPr="001E09CB">
              <w:rPr>
                <w:rStyle w:val="Hyperlink"/>
                <w:noProof/>
              </w:rPr>
              <w:t>Appendices</w:t>
            </w:r>
            <w:r>
              <w:rPr>
                <w:noProof/>
                <w:webHidden/>
              </w:rPr>
              <w:tab/>
            </w:r>
            <w:r>
              <w:rPr>
                <w:noProof/>
                <w:webHidden/>
              </w:rPr>
              <w:fldChar w:fldCharType="begin"/>
            </w:r>
            <w:r>
              <w:rPr>
                <w:noProof/>
                <w:webHidden/>
              </w:rPr>
              <w:instrText xml:space="preserve"> PAGEREF _Toc189659846 \h </w:instrText>
            </w:r>
            <w:r>
              <w:rPr>
                <w:noProof/>
                <w:webHidden/>
              </w:rPr>
            </w:r>
            <w:r>
              <w:rPr>
                <w:noProof/>
                <w:webHidden/>
              </w:rPr>
              <w:fldChar w:fldCharType="separate"/>
            </w:r>
            <w:r>
              <w:rPr>
                <w:noProof/>
                <w:webHidden/>
              </w:rPr>
              <w:t>12</w:t>
            </w:r>
            <w:r>
              <w:rPr>
                <w:noProof/>
                <w:webHidden/>
              </w:rPr>
              <w:fldChar w:fldCharType="end"/>
            </w:r>
          </w:hyperlink>
        </w:p>
        <w:p w14:paraId="5CA510EA" w14:textId="16053593" w:rsidR="00475665" w:rsidRDefault="00E43549">
          <w:pPr>
            <w:rPr>
              <w:b/>
              <w:bCs/>
              <w:noProof/>
            </w:rPr>
          </w:pPr>
          <w:r w:rsidRPr="00A41D66">
            <w:rPr>
              <w:b/>
              <w:bCs/>
              <w:noProof/>
            </w:rPr>
            <w:fldChar w:fldCharType="end"/>
          </w:r>
        </w:p>
        <w:p w14:paraId="273B94A5" w14:textId="77777777" w:rsidR="00475665" w:rsidRDefault="00475665">
          <w:pPr>
            <w:rPr>
              <w:b/>
              <w:bCs/>
              <w:noProof/>
            </w:rPr>
          </w:pPr>
        </w:p>
        <w:p w14:paraId="412D0B26" w14:textId="77777777" w:rsidR="00475665" w:rsidRDefault="00475665">
          <w:pPr>
            <w:rPr>
              <w:b/>
              <w:bCs/>
              <w:noProof/>
            </w:rPr>
          </w:pPr>
        </w:p>
        <w:p w14:paraId="52FB1962" w14:textId="77777777" w:rsidR="00475665" w:rsidRDefault="00475665">
          <w:pPr>
            <w:rPr>
              <w:b/>
              <w:bCs/>
              <w:noProof/>
            </w:rPr>
          </w:pPr>
        </w:p>
        <w:p w14:paraId="38B7363E" w14:textId="77777777" w:rsidR="00475665" w:rsidRDefault="00475665">
          <w:pPr>
            <w:rPr>
              <w:b/>
              <w:bCs/>
              <w:noProof/>
            </w:rPr>
          </w:pPr>
        </w:p>
        <w:p w14:paraId="6F4FF22F" w14:textId="06099574" w:rsidR="00E43549" w:rsidRDefault="00417DD4"/>
      </w:sdtContent>
    </w:sdt>
    <w:p w14:paraId="6F4FF230" w14:textId="4169E096" w:rsidR="00E43549" w:rsidRDefault="00E43549" w:rsidP="00475665">
      <w:pPr>
        <w:jc w:val="center"/>
      </w:pPr>
      <w:r>
        <w:br w:type="page"/>
      </w:r>
    </w:p>
    <w:p w14:paraId="6F4FF231" w14:textId="77777777" w:rsidR="00F85798" w:rsidRDefault="0045522A" w:rsidP="00F85798">
      <w:pPr>
        <w:pStyle w:val="Heading1"/>
      </w:pPr>
      <w:bookmarkStart w:id="0" w:name="_Toc189659837"/>
      <w:r>
        <w:lastRenderedPageBreak/>
        <w:t>Policy S</w:t>
      </w:r>
      <w:r w:rsidR="00F85798">
        <w:t>ummary</w:t>
      </w:r>
      <w:bookmarkEnd w:id="0"/>
    </w:p>
    <w:tbl>
      <w:tblPr>
        <w:tblStyle w:val="TableGrid"/>
        <w:tblW w:w="0" w:type="auto"/>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4A0" w:firstRow="1" w:lastRow="0" w:firstColumn="1" w:lastColumn="0" w:noHBand="0" w:noVBand="1"/>
      </w:tblPr>
      <w:tblGrid>
        <w:gridCol w:w="3036"/>
        <w:gridCol w:w="5960"/>
      </w:tblGrid>
      <w:tr w:rsidR="00BF07BC" w:rsidRPr="008C5DC8" w14:paraId="6F4FF234" w14:textId="77777777" w:rsidTr="00484B1B">
        <w:tc>
          <w:tcPr>
            <w:tcW w:w="3085" w:type="dxa"/>
            <w:shd w:val="clear" w:color="auto" w:fill="auto"/>
          </w:tcPr>
          <w:p w14:paraId="6F4FF232" w14:textId="77777777" w:rsidR="00BF07BC" w:rsidRPr="008C5DC8" w:rsidRDefault="00BF07BC" w:rsidP="007C381A">
            <w:pPr>
              <w:spacing w:before="120" w:after="120"/>
              <w:rPr>
                <w:b/>
                <w:color w:val="1F497D" w:themeColor="text2"/>
                <w:sz w:val="22"/>
              </w:rPr>
            </w:pPr>
            <w:r w:rsidRPr="008C5DC8">
              <w:rPr>
                <w:b/>
                <w:color w:val="1F497D" w:themeColor="text2"/>
                <w:sz w:val="22"/>
              </w:rPr>
              <w:t>Document name</w:t>
            </w:r>
          </w:p>
        </w:tc>
        <w:tc>
          <w:tcPr>
            <w:tcW w:w="6157" w:type="dxa"/>
            <w:shd w:val="clear" w:color="auto" w:fill="auto"/>
          </w:tcPr>
          <w:p w14:paraId="6F4FF233" w14:textId="626312D6" w:rsidR="00BF07BC" w:rsidRPr="008C5DC8" w:rsidRDefault="003A050D" w:rsidP="007C381A">
            <w:pPr>
              <w:spacing w:before="120" w:after="120"/>
              <w:rPr>
                <w:sz w:val="22"/>
              </w:rPr>
            </w:pPr>
            <w:r>
              <w:rPr>
                <w:sz w:val="22"/>
              </w:rPr>
              <w:t>Managing Concerns around People in Positions of Trust with Adults who have Care and Support Needs Policy &amp; Procedures</w:t>
            </w:r>
          </w:p>
        </w:tc>
      </w:tr>
      <w:tr w:rsidR="007C381A" w:rsidRPr="008C5DC8" w14:paraId="6F4FF237" w14:textId="77777777" w:rsidTr="00484B1B">
        <w:tc>
          <w:tcPr>
            <w:tcW w:w="3085" w:type="dxa"/>
            <w:shd w:val="clear" w:color="auto" w:fill="auto"/>
          </w:tcPr>
          <w:p w14:paraId="6F4FF235" w14:textId="77777777" w:rsidR="007C381A" w:rsidRPr="008C5DC8" w:rsidRDefault="007C381A" w:rsidP="00270D71">
            <w:pPr>
              <w:spacing w:before="120" w:after="120"/>
              <w:rPr>
                <w:b/>
                <w:color w:val="1F497D" w:themeColor="text2"/>
                <w:sz w:val="22"/>
              </w:rPr>
            </w:pPr>
            <w:r w:rsidRPr="008C5DC8">
              <w:rPr>
                <w:b/>
                <w:color w:val="1F497D" w:themeColor="text2"/>
                <w:sz w:val="22"/>
              </w:rPr>
              <w:t>Version</w:t>
            </w:r>
          </w:p>
        </w:tc>
        <w:tc>
          <w:tcPr>
            <w:tcW w:w="6157" w:type="dxa"/>
            <w:shd w:val="clear" w:color="auto" w:fill="auto"/>
          </w:tcPr>
          <w:p w14:paraId="6F4FF236" w14:textId="785BE017" w:rsidR="007C381A" w:rsidRPr="008C5DC8" w:rsidRDefault="00A41D66" w:rsidP="00270D71">
            <w:pPr>
              <w:spacing w:before="120" w:after="120"/>
              <w:rPr>
                <w:sz w:val="22"/>
              </w:rPr>
            </w:pPr>
            <w:r w:rsidRPr="008C5DC8">
              <w:rPr>
                <w:sz w:val="22"/>
              </w:rPr>
              <w:t>1.0</w:t>
            </w:r>
            <w:r w:rsidR="00475665">
              <w:rPr>
                <w:sz w:val="22"/>
              </w:rPr>
              <w:t xml:space="preserve"> </w:t>
            </w:r>
            <w:r w:rsidR="00850FAE">
              <w:rPr>
                <w:sz w:val="22"/>
              </w:rPr>
              <w:t>07012025</w:t>
            </w:r>
          </w:p>
        </w:tc>
      </w:tr>
      <w:tr w:rsidR="00BF07BC" w:rsidRPr="008C5DC8" w14:paraId="6F4FF23A" w14:textId="77777777" w:rsidTr="00484B1B">
        <w:tc>
          <w:tcPr>
            <w:tcW w:w="3085" w:type="dxa"/>
            <w:shd w:val="clear" w:color="auto" w:fill="auto"/>
          </w:tcPr>
          <w:p w14:paraId="6F4FF238" w14:textId="77777777" w:rsidR="00BF07BC" w:rsidRPr="008C5DC8" w:rsidRDefault="00BF07BC" w:rsidP="007C381A">
            <w:pPr>
              <w:spacing w:before="120" w:after="120"/>
              <w:rPr>
                <w:b/>
                <w:color w:val="1F497D" w:themeColor="text2"/>
                <w:sz w:val="22"/>
              </w:rPr>
            </w:pPr>
            <w:r w:rsidRPr="008C5DC8">
              <w:rPr>
                <w:b/>
                <w:color w:val="1F497D" w:themeColor="text2"/>
                <w:sz w:val="22"/>
              </w:rPr>
              <w:t>Publication date</w:t>
            </w:r>
          </w:p>
        </w:tc>
        <w:tc>
          <w:tcPr>
            <w:tcW w:w="6157" w:type="dxa"/>
            <w:shd w:val="clear" w:color="auto" w:fill="auto"/>
          </w:tcPr>
          <w:p w14:paraId="6F4FF239" w14:textId="01AA4EA2" w:rsidR="00BF07BC" w:rsidRPr="00417DD4" w:rsidRDefault="00417DD4" w:rsidP="007C381A">
            <w:pPr>
              <w:spacing w:before="120" w:after="120"/>
              <w:rPr>
                <w:sz w:val="22"/>
              </w:rPr>
            </w:pPr>
            <w:r w:rsidRPr="00417DD4">
              <w:rPr>
                <w:sz w:val="22"/>
              </w:rPr>
              <w:t>April 2025</w:t>
            </w:r>
          </w:p>
        </w:tc>
      </w:tr>
      <w:tr w:rsidR="006B2AC2" w:rsidRPr="008C5DC8" w14:paraId="5FF5E6F6" w14:textId="77777777" w:rsidTr="0070049C">
        <w:tc>
          <w:tcPr>
            <w:tcW w:w="3085" w:type="dxa"/>
            <w:shd w:val="clear" w:color="auto" w:fill="auto"/>
          </w:tcPr>
          <w:p w14:paraId="7798A0B5" w14:textId="77777777" w:rsidR="006B2AC2" w:rsidRPr="008C5DC8" w:rsidRDefault="006B2AC2" w:rsidP="0070049C">
            <w:pPr>
              <w:spacing w:before="120" w:after="120"/>
              <w:rPr>
                <w:b/>
                <w:color w:val="1F497D" w:themeColor="text2"/>
                <w:sz w:val="22"/>
              </w:rPr>
            </w:pPr>
            <w:r w:rsidRPr="008C5DC8">
              <w:rPr>
                <w:b/>
                <w:color w:val="1F497D" w:themeColor="text2"/>
                <w:sz w:val="22"/>
              </w:rPr>
              <w:t>Review due date</w:t>
            </w:r>
          </w:p>
        </w:tc>
        <w:tc>
          <w:tcPr>
            <w:tcW w:w="6157" w:type="dxa"/>
            <w:shd w:val="clear" w:color="auto" w:fill="auto"/>
          </w:tcPr>
          <w:p w14:paraId="355A3026" w14:textId="1828DC28" w:rsidR="006B2AC2" w:rsidRPr="00417DD4" w:rsidRDefault="00417DD4" w:rsidP="0070049C">
            <w:pPr>
              <w:spacing w:before="120" w:after="120"/>
              <w:rPr>
                <w:sz w:val="22"/>
              </w:rPr>
            </w:pPr>
            <w:r w:rsidRPr="00417DD4">
              <w:rPr>
                <w:sz w:val="22"/>
              </w:rPr>
              <w:t>April 2028</w:t>
            </w:r>
          </w:p>
        </w:tc>
      </w:tr>
      <w:tr w:rsidR="007C381A" w:rsidRPr="008C5DC8" w14:paraId="6F4FF23D" w14:textId="77777777" w:rsidTr="00484B1B">
        <w:tc>
          <w:tcPr>
            <w:tcW w:w="3085" w:type="dxa"/>
            <w:shd w:val="clear" w:color="auto" w:fill="auto"/>
          </w:tcPr>
          <w:p w14:paraId="6F4FF23B" w14:textId="77777777" w:rsidR="007C381A" w:rsidRPr="008C5DC8" w:rsidRDefault="007C381A" w:rsidP="00270D71">
            <w:pPr>
              <w:spacing w:before="120" w:after="120"/>
              <w:rPr>
                <w:b/>
                <w:color w:val="1F497D" w:themeColor="text2"/>
                <w:sz w:val="22"/>
              </w:rPr>
            </w:pPr>
            <w:r w:rsidRPr="008C5DC8">
              <w:rPr>
                <w:b/>
                <w:color w:val="1F497D" w:themeColor="text2"/>
                <w:sz w:val="22"/>
              </w:rPr>
              <w:t>Approved by</w:t>
            </w:r>
          </w:p>
        </w:tc>
        <w:tc>
          <w:tcPr>
            <w:tcW w:w="6157" w:type="dxa"/>
            <w:shd w:val="clear" w:color="auto" w:fill="auto"/>
          </w:tcPr>
          <w:p w14:paraId="6F4FF23C" w14:textId="05268C62" w:rsidR="007C381A" w:rsidRPr="008C5DC8" w:rsidRDefault="00A41D66" w:rsidP="00270D71">
            <w:pPr>
              <w:spacing w:before="120" w:after="120"/>
              <w:rPr>
                <w:sz w:val="22"/>
              </w:rPr>
            </w:pPr>
            <w:r w:rsidRPr="008C5DC8">
              <w:rPr>
                <w:sz w:val="22"/>
              </w:rPr>
              <w:t>SMT</w:t>
            </w:r>
          </w:p>
        </w:tc>
      </w:tr>
      <w:tr w:rsidR="007C381A" w:rsidRPr="008C5DC8" w14:paraId="6F4FF242" w14:textId="77777777" w:rsidTr="00484B1B">
        <w:tc>
          <w:tcPr>
            <w:tcW w:w="3085" w:type="dxa"/>
            <w:shd w:val="clear" w:color="auto" w:fill="auto"/>
          </w:tcPr>
          <w:p w14:paraId="6F4FF23E" w14:textId="77777777" w:rsidR="007C381A" w:rsidRPr="008C5DC8" w:rsidRDefault="007C381A" w:rsidP="007C381A">
            <w:pPr>
              <w:spacing w:before="120" w:after="120"/>
              <w:rPr>
                <w:b/>
                <w:color w:val="1F497D" w:themeColor="text2"/>
                <w:sz w:val="22"/>
              </w:rPr>
            </w:pPr>
            <w:r w:rsidRPr="008C5DC8">
              <w:rPr>
                <w:b/>
                <w:color w:val="1F497D" w:themeColor="text2"/>
                <w:sz w:val="22"/>
              </w:rPr>
              <w:t>Status</w:t>
            </w:r>
          </w:p>
        </w:tc>
        <w:tc>
          <w:tcPr>
            <w:tcW w:w="6157" w:type="dxa"/>
            <w:shd w:val="clear" w:color="auto" w:fill="auto"/>
          </w:tcPr>
          <w:p w14:paraId="6F4FF23F" w14:textId="77777777" w:rsidR="007C381A" w:rsidRPr="008C5DC8" w:rsidRDefault="007C381A" w:rsidP="007C381A">
            <w:pPr>
              <w:spacing w:before="120" w:after="120"/>
              <w:rPr>
                <w:sz w:val="22"/>
              </w:rPr>
            </w:pPr>
            <w:r w:rsidRPr="008C5DC8">
              <w:rPr>
                <w:sz w:val="22"/>
              </w:rPr>
              <w:t>Mandatory (all named staff must adhere to guidance)</w:t>
            </w:r>
          </w:p>
          <w:p w14:paraId="6F4FF241" w14:textId="735F8FFC" w:rsidR="00A41D66" w:rsidRPr="008C5DC8" w:rsidRDefault="00A41D66" w:rsidP="007C381A">
            <w:pPr>
              <w:spacing w:before="120" w:after="120"/>
              <w:rPr>
                <w:i/>
                <w:iCs/>
                <w:sz w:val="22"/>
              </w:rPr>
            </w:pPr>
          </w:p>
        </w:tc>
      </w:tr>
      <w:tr w:rsidR="00BF07BC" w:rsidRPr="008C5DC8" w14:paraId="6F4FF245" w14:textId="77777777" w:rsidTr="00484B1B">
        <w:tc>
          <w:tcPr>
            <w:tcW w:w="3085" w:type="dxa"/>
            <w:shd w:val="clear" w:color="auto" w:fill="auto"/>
          </w:tcPr>
          <w:p w14:paraId="6F4FF243" w14:textId="77777777" w:rsidR="00BF07BC" w:rsidRPr="008C5DC8" w:rsidRDefault="00BF07BC" w:rsidP="007C381A">
            <w:pPr>
              <w:spacing w:before="120" w:after="120"/>
              <w:rPr>
                <w:b/>
                <w:color w:val="1F497D" w:themeColor="text2"/>
                <w:sz w:val="22"/>
              </w:rPr>
            </w:pPr>
            <w:r w:rsidRPr="008C5DC8">
              <w:rPr>
                <w:b/>
                <w:color w:val="1F497D" w:themeColor="text2"/>
                <w:sz w:val="22"/>
              </w:rPr>
              <w:t>Author</w:t>
            </w:r>
          </w:p>
        </w:tc>
        <w:tc>
          <w:tcPr>
            <w:tcW w:w="6157" w:type="dxa"/>
            <w:shd w:val="clear" w:color="auto" w:fill="auto"/>
          </w:tcPr>
          <w:p w14:paraId="6F4FF244" w14:textId="4CA9743E" w:rsidR="00BF07BC" w:rsidRPr="008C5DC8" w:rsidRDefault="00182F7E" w:rsidP="00AF6E58">
            <w:pPr>
              <w:spacing w:before="120" w:after="120"/>
              <w:rPr>
                <w:sz w:val="22"/>
              </w:rPr>
            </w:pPr>
            <w:r>
              <w:rPr>
                <w:sz w:val="22"/>
              </w:rPr>
              <w:t>Katy Rushworth</w:t>
            </w:r>
            <w:r w:rsidR="00B74EE9">
              <w:rPr>
                <w:sz w:val="22"/>
              </w:rPr>
              <w:t>, Safeguarding &amp; Dignity Officer – Policy, Performance &amp; Customer Care</w:t>
            </w:r>
          </w:p>
        </w:tc>
      </w:tr>
      <w:tr w:rsidR="00BF07BC" w:rsidRPr="008C5DC8" w14:paraId="6F4FF248" w14:textId="77777777" w:rsidTr="00484B1B">
        <w:tc>
          <w:tcPr>
            <w:tcW w:w="3085" w:type="dxa"/>
            <w:shd w:val="clear" w:color="auto" w:fill="auto"/>
          </w:tcPr>
          <w:p w14:paraId="6F4FF246" w14:textId="77777777" w:rsidR="00BF07BC" w:rsidRPr="008C5DC8" w:rsidRDefault="00BF07BC" w:rsidP="007C381A">
            <w:pPr>
              <w:spacing w:before="120" w:after="120"/>
              <w:rPr>
                <w:b/>
                <w:color w:val="1F497D" w:themeColor="text2"/>
                <w:sz w:val="22"/>
              </w:rPr>
            </w:pPr>
            <w:r w:rsidRPr="008C5DC8">
              <w:rPr>
                <w:b/>
                <w:color w:val="1F497D" w:themeColor="text2"/>
                <w:sz w:val="22"/>
              </w:rPr>
              <w:t>Contributors</w:t>
            </w:r>
          </w:p>
        </w:tc>
        <w:tc>
          <w:tcPr>
            <w:tcW w:w="6157" w:type="dxa"/>
            <w:shd w:val="clear" w:color="auto" w:fill="auto"/>
          </w:tcPr>
          <w:p w14:paraId="3EF0A02E" w14:textId="77777777" w:rsidR="003A050D" w:rsidRDefault="003A050D" w:rsidP="007C381A">
            <w:pPr>
              <w:spacing w:before="120" w:after="120"/>
              <w:rPr>
                <w:sz w:val="22"/>
              </w:rPr>
            </w:pPr>
            <w:r>
              <w:rPr>
                <w:sz w:val="22"/>
              </w:rPr>
              <w:t>Helen Moir, Head of Service – Independent Living</w:t>
            </w:r>
          </w:p>
          <w:p w14:paraId="2CBE4F0F" w14:textId="77777777" w:rsidR="00124307" w:rsidRDefault="00124307" w:rsidP="00124307">
            <w:pPr>
              <w:spacing w:before="120" w:after="120"/>
              <w:rPr>
                <w:sz w:val="22"/>
              </w:rPr>
            </w:pPr>
            <w:r>
              <w:rPr>
                <w:sz w:val="22"/>
              </w:rPr>
              <w:t>Katy Goodall, Interim Principal Manager – Integrated Adults Safeguarding Unit</w:t>
            </w:r>
          </w:p>
          <w:p w14:paraId="6F4FF247" w14:textId="4D8C3484" w:rsidR="00905740" w:rsidRPr="008C5DC8" w:rsidRDefault="00905740" w:rsidP="007C381A">
            <w:pPr>
              <w:spacing w:before="120" w:after="120"/>
              <w:rPr>
                <w:sz w:val="22"/>
              </w:rPr>
            </w:pPr>
            <w:r>
              <w:rPr>
                <w:sz w:val="22"/>
              </w:rPr>
              <w:t xml:space="preserve">Jayne Doran – Group </w:t>
            </w:r>
            <w:r w:rsidR="00A85C6E">
              <w:rPr>
                <w:sz w:val="22"/>
              </w:rPr>
              <w:t>Solicitor</w:t>
            </w:r>
            <w:r w:rsidR="001B31D4">
              <w:rPr>
                <w:sz w:val="22"/>
              </w:rPr>
              <w:t xml:space="preserve"> Social Care &amp; Education</w:t>
            </w:r>
          </w:p>
        </w:tc>
      </w:tr>
      <w:tr w:rsidR="00BF07BC" w:rsidRPr="008C5DC8" w14:paraId="6F4FF24B" w14:textId="77777777" w:rsidTr="00484B1B">
        <w:tc>
          <w:tcPr>
            <w:tcW w:w="3085" w:type="dxa"/>
            <w:shd w:val="clear" w:color="auto" w:fill="auto"/>
          </w:tcPr>
          <w:p w14:paraId="6F4FF249" w14:textId="77777777" w:rsidR="00BF07BC" w:rsidRPr="008C5DC8" w:rsidRDefault="00BF07BC" w:rsidP="007C381A">
            <w:pPr>
              <w:spacing w:before="120" w:after="120"/>
              <w:rPr>
                <w:b/>
                <w:color w:val="1F497D" w:themeColor="text2"/>
                <w:sz w:val="22"/>
              </w:rPr>
            </w:pPr>
            <w:r w:rsidRPr="008C5DC8">
              <w:rPr>
                <w:b/>
                <w:color w:val="1F497D" w:themeColor="text2"/>
                <w:sz w:val="22"/>
              </w:rPr>
              <w:t>Service area</w:t>
            </w:r>
          </w:p>
        </w:tc>
        <w:tc>
          <w:tcPr>
            <w:tcW w:w="6157" w:type="dxa"/>
            <w:shd w:val="clear" w:color="auto" w:fill="auto"/>
          </w:tcPr>
          <w:p w14:paraId="6F4FF24A" w14:textId="43420E27" w:rsidR="00BF07BC" w:rsidRPr="008C5DC8" w:rsidRDefault="00D76851" w:rsidP="007C381A">
            <w:pPr>
              <w:spacing w:before="120" w:after="120"/>
              <w:rPr>
                <w:sz w:val="22"/>
              </w:rPr>
            </w:pPr>
            <w:r>
              <w:rPr>
                <w:sz w:val="22"/>
              </w:rPr>
              <w:t>Adult Social Care</w:t>
            </w:r>
          </w:p>
        </w:tc>
      </w:tr>
      <w:tr w:rsidR="00BF07BC" w:rsidRPr="008C5DC8" w14:paraId="6F4FF24E" w14:textId="77777777" w:rsidTr="00484B1B">
        <w:tc>
          <w:tcPr>
            <w:tcW w:w="3085" w:type="dxa"/>
            <w:shd w:val="clear" w:color="auto" w:fill="auto"/>
          </w:tcPr>
          <w:p w14:paraId="6F4FF24C" w14:textId="77777777" w:rsidR="00BF07BC" w:rsidRPr="008C5DC8" w:rsidRDefault="007C381A" w:rsidP="007C381A">
            <w:pPr>
              <w:spacing w:before="120" w:after="120"/>
              <w:rPr>
                <w:b/>
                <w:color w:val="1F497D" w:themeColor="text2"/>
                <w:sz w:val="22"/>
              </w:rPr>
            </w:pPr>
            <w:r w:rsidRPr="008C5DC8">
              <w:rPr>
                <w:b/>
                <w:color w:val="1F497D" w:themeColor="text2"/>
                <w:sz w:val="22"/>
              </w:rPr>
              <w:t>Target audience</w:t>
            </w:r>
          </w:p>
        </w:tc>
        <w:tc>
          <w:tcPr>
            <w:tcW w:w="6157" w:type="dxa"/>
            <w:shd w:val="clear" w:color="auto" w:fill="auto"/>
          </w:tcPr>
          <w:p w14:paraId="6F4FF24D" w14:textId="51569D74" w:rsidR="00BF07BC" w:rsidRPr="008C5DC8" w:rsidRDefault="00D76851" w:rsidP="007C381A">
            <w:pPr>
              <w:spacing w:before="120" w:after="120"/>
              <w:rPr>
                <w:sz w:val="22"/>
              </w:rPr>
            </w:pPr>
            <w:r>
              <w:rPr>
                <w:sz w:val="22"/>
              </w:rPr>
              <w:t>Adult Social Care and Health Partners</w:t>
            </w:r>
          </w:p>
        </w:tc>
      </w:tr>
      <w:tr w:rsidR="007C381A" w:rsidRPr="008C5DC8" w14:paraId="6F4FF251" w14:textId="77777777" w:rsidTr="00484B1B">
        <w:tc>
          <w:tcPr>
            <w:tcW w:w="3085" w:type="dxa"/>
            <w:shd w:val="clear" w:color="auto" w:fill="auto"/>
          </w:tcPr>
          <w:p w14:paraId="6F4FF24F" w14:textId="77777777" w:rsidR="007C381A" w:rsidRPr="008C5DC8" w:rsidRDefault="007C381A" w:rsidP="007C381A">
            <w:pPr>
              <w:spacing w:before="120" w:after="120"/>
              <w:rPr>
                <w:b/>
                <w:color w:val="1F497D" w:themeColor="text2"/>
                <w:sz w:val="22"/>
              </w:rPr>
            </w:pPr>
            <w:r w:rsidRPr="008C5DC8">
              <w:rPr>
                <w:b/>
                <w:color w:val="1F497D" w:themeColor="text2"/>
                <w:sz w:val="22"/>
              </w:rPr>
              <w:t>Distribution</w:t>
            </w:r>
          </w:p>
        </w:tc>
        <w:tc>
          <w:tcPr>
            <w:tcW w:w="6157" w:type="dxa"/>
            <w:shd w:val="clear" w:color="auto" w:fill="auto"/>
          </w:tcPr>
          <w:p w14:paraId="6F4FF250" w14:textId="0A65C3B6" w:rsidR="007C381A" w:rsidRPr="008C5DC8" w:rsidRDefault="00D76851" w:rsidP="007C381A">
            <w:pPr>
              <w:spacing w:before="120" w:after="120"/>
              <w:rPr>
                <w:sz w:val="22"/>
              </w:rPr>
            </w:pPr>
            <w:r>
              <w:rPr>
                <w:sz w:val="22"/>
              </w:rPr>
              <w:t>Adult Social Care and Halton Safeguarding Adults Board Partner Agencies</w:t>
            </w:r>
          </w:p>
        </w:tc>
      </w:tr>
      <w:tr w:rsidR="007C381A" w:rsidRPr="008C5DC8" w14:paraId="6F4FF254" w14:textId="77777777" w:rsidTr="00484B1B">
        <w:tc>
          <w:tcPr>
            <w:tcW w:w="3085" w:type="dxa"/>
            <w:shd w:val="clear" w:color="auto" w:fill="auto"/>
          </w:tcPr>
          <w:p w14:paraId="6F4FF252" w14:textId="77777777" w:rsidR="007C381A" w:rsidRPr="008C5DC8" w:rsidRDefault="007C381A" w:rsidP="007C381A">
            <w:pPr>
              <w:spacing w:before="120" w:after="120"/>
              <w:rPr>
                <w:b/>
                <w:color w:val="1F497D" w:themeColor="text2"/>
                <w:sz w:val="22"/>
              </w:rPr>
            </w:pPr>
            <w:r w:rsidRPr="008C5DC8">
              <w:rPr>
                <w:b/>
                <w:color w:val="1F497D" w:themeColor="text2"/>
                <w:sz w:val="22"/>
              </w:rPr>
              <w:t>Related document(s)</w:t>
            </w:r>
          </w:p>
        </w:tc>
        <w:tc>
          <w:tcPr>
            <w:tcW w:w="6157" w:type="dxa"/>
            <w:shd w:val="clear" w:color="auto" w:fill="auto"/>
          </w:tcPr>
          <w:p w14:paraId="6F4FF253" w14:textId="3ADBBE0D" w:rsidR="007C381A" w:rsidRPr="008C5DC8" w:rsidRDefault="0059764C" w:rsidP="007C381A">
            <w:pPr>
              <w:spacing w:before="120" w:after="120"/>
              <w:rPr>
                <w:sz w:val="22"/>
              </w:rPr>
            </w:pPr>
            <w:r>
              <w:rPr>
                <w:sz w:val="22"/>
              </w:rPr>
              <w:t>Safeguarding Adults Policy, Procedure and Guidance documents</w:t>
            </w:r>
          </w:p>
        </w:tc>
      </w:tr>
      <w:tr w:rsidR="007C381A" w:rsidRPr="008C5DC8" w14:paraId="6F4FF257" w14:textId="77777777" w:rsidTr="00484B1B">
        <w:tc>
          <w:tcPr>
            <w:tcW w:w="3085" w:type="dxa"/>
            <w:shd w:val="clear" w:color="auto" w:fill="auto"/>
          </w:tcPr>
          <w:p w14:paraId="6F4FF255" w14:textId="77777777" w:rsidR="007C381A" w:rsidRPr="008C5DC8" w:rsidRDefault="007C381A" w:rsidP="007C381A">
            <w:pPr>
              <w:spacing w:before="120" w:after="120"/>
              <w:rPr>
                <w:b/>
                <w:color w:val="1F497D" w:themeColor="text2"/>
                <w:sz w:val="22"/>
              </w:rPr>
            </w:pPr>
            <w:r w:rsidRPr="008C5DC8">
              <w:rPr>
                <w:b/>
                <w:color w:val="1F497D" w:themeColor="text2"/>
                <w:sz w:val="22"/>
              </w:rPr>
              <w:t>Superseded document(s)</w:t>
            </w:r>
          </w:p>
        </w:tc>
        <w:tc>
          <w:tcPr>
            <w:tcW w:w="6157" w:type="dxa"/>
            <w:shd w:val="clear" w:color="auto" w:fill="auto"/>
          </w:tcPr>
          <w:p w14:paraId="6F4FF256" w14:textId="54EA04DF" w:rsidR="007C381A" w:rsidRPr="008C5DC8" w:rsidRDefault="0059764C" w:rsidP="007C381A">
            <w:pPr>
              <w:spacing w:before="120" w:after="120"/>
              <w:rPr>
                <w:sz w:val="22"/>
              </w:rPr>
            </w:pPr>
            <w:r>
              <w:rPr>
                <w:sz w:val="22"/>
              </w:rPr>
              <w:t>North West Policy for Managing Concerns around People in Positions of Trust with Adults who have Care and Support Needs (2019)</w:t>
            </w:r>
          </w:p>
        </w:tc>
      </w:tr>
      <w:tr w:rsidR="007C381A" w:rsidRPr="008C5DC8" w14:paraId="6F4FF25A" w14:textId="77777777" w:rsidTr="00A41D66">
        <w:tc>
          <w:tcPr>
            <w:tcW w:w="3085" w:type="dxa"/>
            <w:shd w:val="clear" w:color="auto" w:fill="auto"/>
          </w:tcPr>
          <w:p w14:paraId="6F4FF258" w14:textId="77777777" w:rsidR="007C381A" w:rsidRPr="0018490D" w:rsidRDefault="007C381A" w:rsidP="007C381A">
            <w:pPr>
              <w:spacing w:before="120" w:after="120"/>
              <w:rPr>
                <w:b/>
                <w:color w:val="1F497D" w:themeColor="text2"/>
                <w:sz w:val="22"/>
              </w:rPr>
            </w:pPr>
            <w:r w:rsidRPr="0018490D">
              <w:rPr>
                <w:b/>
                <w:color w:val="1F497D" w:themeColor="text2"/>
                <w:sz w:val="22"/>
              </w:rPr>
              <w:t>Equality Impact Assessment</w:t>
            </w:r>
          </w:p>
        </w:tc>
        <w:tc>
          <w:tcPr>
            <w:tcW w:w="6157" w:type="dxa"/>
            <w:shd w:val="clear" w:color="auto" w:fill="auto"/>
            <w:vAlign w:val="center"/>
          </w:tcPr>
          <w:p w14:paraId="6F4FF259" w14:textId="4097C6EF" w:rsidR="007C381A" w:rsidRPr="0018490D" w:rsidRDefault="00D76851" w:rsidP="00A41D66">
            <w:pPr>
              <w:spacing w:before="120" w:after="120"/>
              <w:rPr>
                <w:sz w:val="22"/>
              </w:rPr>
            </w:pPr>
            <w:r w:rsidRPr="0018490D">
              <w:rPr>
                <w:sz w:val="22"/>
              </w:rPr>
              <w:t>Updated</w:t>
            </w:r>
          </w:p>
        </w:tc>
      </w:tr>
      <w:tr w:rsidR="008C5DC8" w:rsidRPr="008C5DC8" w14:paraId="057FF371" w14:textId="77777777" w:rsidTr="00DA0962">
        <w:tc>
          <w:tcPr>
            <w:tcW w:w="9242" w:type="dxa"/>
            <w:gridSpan w:val="2"/>
            <w:shd w:val="clear" w:color="auto" w:fill="auto"/>
          </w:tcPr>
          <w:p w14:paraId="3E0CA0C1" w14:textId="72D2EC72" w:rsidR="008C5DC8" w:rsidRPr="008C5DC8" w:rsidRDefault="008C5DC8" w:rsidP="008C5DC8">
            <w:pPr>
              <w:spacing w:before="120" w:after="120"/>
              <w:jc w:val="center"/>
              <w:rPr>
                <w:i/>
                <w:iCs/>
                <w:sz w:val="22"/>
              </w:rPr>
            </w:pPr>
            <w:r w:rsidRPr="008C5DC8">
              <w:rPr>
                <w:i/>
                <w:iCs/>
                <w:sz w:val="22"/>
              </w:rPr>
              <w:t xml:space="preserve">If you require this policy or any associated documents in another format (e.g. other languages, easy-read or any other format), please email details of your requirements to: </w:t>
            </w:r>
            <w:hyperlink r:id="rId12" w:history="1">
              <w:r w:rsidRPr="008C5DC8">
                <w:rPr>
                  <w:rStyle w:val="Hyperlink"/>
                  <w:i/>
                  <w:iCs/>
                  <w:sz w:val="22"/>
                </w:rPr>
                <w:t>ascservicedevelopment@halton.gov.uk</w:t>
              </w:r>
            </w:hyperlink>
            <w:r w:rsidRPr="008C5DC8">
              <w:rPr>
                <w:i/>
                <w:iCs/>
                <w:sz w:val="22"/>
              </w:rPr>
              <w:t>.</w:t>
            </w:r>
          </w:p>
        </w:tc>
      </w:tr>
    </w:tbl>
    <w:p w14:paraId="6F4FF25C" w14:textId="77777777" w:rsidR="00F85798" w:rsidRDefault="00F85798" w:rsidP="00E374C8">
      <w:r>
        <w:br w:type="page"/>
      </w:r>
    </w:p>
    <w:p w14:paraId="6A11D84C" w14:textId="44D172DD" w:rsidR="00A669A0" w:rsidRDefault="00652743" w:rsidP="00652743">
      <w:pPr>
        <w:pStyle w:val="Heading1"/>
      </w:pPr>
      <w:bookmarkStart w:id="1" w:name="_Toc189659838"/>
      <w:r>
        <w:lastRenderedPageBreak/>
        <w:t>Acknowledgements</w:t>
      </w:r>
      <w:bookmarkEnd w:id="1"/>
    </w:p>
    <w:p w14:paraId="3D4A2779" w14:textId="540D5783" w:rsidR="006768E1" w:rsidRDefault="00EA127A" w:rsidP="00EA127A">
      <w:r>
        <w:t>This policy was originally developed and based upon the West Midlands Adult Position of Trust Framework: A Framework and Process for responding to allegations and concerns against people working wit</w:t>
      </w:r>
      <w:r w:rsidR="0096678D">
        <w:t>h</w:t>
      </w:r>
      <w:r>
        <w:t xml:space="preserve"> adults with care and support needs (2017).</w:t>
      </w:r>
    </w:p>
    <w:p w14:paraId="4D1A0FB4" w14:textId="3A42B59E" w:rsidR="00EA127A" w:rsidRDefault="00EA127A" w:rsidP="00EA127A">
      <w:pPr>
        <w:pStyle w:val="Heading1"/>
      </w:pPr>
      <w:bookmarkStart w:id="2" w:name="_Toc189659839"/>
      <w:r>
        <w:t>Glossary</w:t>
      </w:r>
      <w:bookmarkEnd w:id="2"/>
    </w:p>
    <w:tbl>
      <w:tblPr>
        <w:tblStyle w:val="TableGrid"/>
        <w:tblW w:w="0" w:type="auto"/>
        <w:tblLook w:val="04A0" w:firstRow="1" w:lastRow="0" w:firstColumn="1" w:lastColumn="0" w:noHBand="0" w:noVBand="1"/>
      </w:tblPr>
      <w:tblGrid>
        <w:gridCol w:w="4501"/>
        <w:gridCol w:w="4515"/>
      </w:tblGrid>
      <w:tr w:rsidR="003E4E5F" w14:paraId="08407935" w14:textId="77777777" w:rsidTr="00AB653D">
        <w:tc>
          <w:tcPr>
            <w:tcW w:w="4621" w:type="dxa"/>
            <w:shd w:val="clear" w:color="auto" w:fill="DBE5F1" w:themeFill="accent1" w:themeFillTint="33"/>
          </w:tcPr>
          <w:p w14:paraId="7975585B" w14:textId="77777777" w:rsidR="003E4E5F" w:rsidRDefault="003E4E5F" w:rsidP="00AB653D">
            <w:pPr>
              <w:jc w:val="both"/>
              <w:rPr>
                <w:rFonts w:cs="Arial"/>
                <w:b/>
                <w:color w:val="1F497D" w:themeColor="text2"/>
                <w:szCs w:val="24"/>
              </w:rPr>
            </w:pPr>
            <w:r>
              <w:rPr>
                <w:rFonts w:cs="Arial"/>
                <w:b/>
                <w:color w:val="1F497D" w:themeColor="text2"/>
                <w:szCs w:val="24"/>
              </w:rPr>
              <w:t>ADASS</w:t>
            </w:r>
          </w:p>
        </w:tc>
        <w:tc>
          <w:tcPr>
            <w:tcW w:w="4621" w:type="dxa"/>
          </w:tcPr>
          <w:p w14:paraId="25CB95CB" w14:textId="77777777" w:rsidR="003E4E5F" w:rsidRDefault="003E4E5F" w:rsidP="00AB653D">
            <w:pPr>
              <w:jc w:val="both"/>
              <w:rPr>
                <w:rFonts w:cs="Arial"/>
                <w:b/>
                <w:color w:val="1F497D" w:themeColor="text2"/>
                <w:szCs w:val="24"/>
              </w:rPr>
            </w:pPr>
            <w:r>
              <w:rPr>
                <w:rFonts w:cs="Arial"/>
                <w:b/>
                <w:color w:val="1F497D" w:themeColor="text2"/>
                <w:szCs w:val="24"/>
              </w:rPr>
              <w:t>Association of Directors of Adult Social Services</w:t>
            </w:r>
          </w:p>
          <w:p w14:paraId="0E3E549B" w14:textId="77777777" w:rsidR="003E4E5F" w:rsidRDefault="003E4E5F" w:rsidP="00AB653D">
            <w:pPr>
              <w:jc w:val="both"/>
              <w:rPr>
                <w:rFonts w:cs="Arial"/>
                <w:b/>
                <w:color w:val="1F497D" w:themeColor="text2"/>
                <w:szCs w:val="24"/>
              </w:rPr>
            </w:pPr>
          </w:p>
        </w:tc>
      </w:tr>
      <w:tr w:rsidR="003E4E5F" w14:paraId="508C5C53" w14:textId="77777777" w:rsidTr="00AB653D">
        <w:tc>
          <w:tcPr>
            <w:tcW w:w="4621" w:type="dxa"/>
            <w:shd w:val="clear" w:color="auto" w:fill="DBE5F1" w:themeFill="accent1" w:themeFillTint="33"/>
          </w:tcPr>
          <w:p w14:paraId="2C7690E4" w14:textId="77777777" w:rsidR="003E4E5F" w:rsidRDefault="003E4E5F" w:rsidP="00AB653D">
            <w:pPr>
              <w:jc w:val="both"/>
              <w:rPr>
                <w:rFonts w:cs="Arial"/>
                <w:b/>
                <w:color w:val="1F497D" w:themeColor="text2"/>
                <w:szCs w:val="24"/>
              </w:rPr>
            </w:pPr>
            <w:r>
              <w:rPr>
                <w:rFonts w:cs="Arial"/>
                <w:b/>
                <w:color w:val="1F497D" w:themeColor="text2"/>
                <w:szCs w:val="24"/>
              </w:rPr>
              <w:t>DBS</w:t>
            </w:r>
          </w:p>
        </w:tc>
        <w:tc>
          <w:tcPr>
            <w:tcW w:w="4621" w:type="dxa"/>
          </w:tcPr>
          <w:p w14:paraId="5BA13BDD" w14:textId="77777777" w:rsidR="003E4E5F" w:rsidRDefault="003E4E5F" w:rsidP="00AB653D">
            <w:pPr>
              <w:jc w:val="both"/>
              <w:rPr>
                <w:rFonts w:cs="Arial"/>
                <w:b/>
                <w:color w:val="1F497D" w:themeColor="text2"/>
                <w:szCs w:val="24"/>
              </w:rPr>
            </w:pPr>
            <w:r>
              <w:rPr>
                <w:rFonts w:cs="Arial"/>
                <w:b/>
                <w:color w:val="1F497D" w:themeColor="text2"/>
                <w:szCs w:val="24"/>
              </w:rPr>
              <w:t>Disclosure &amp; Barring Service</w:t>
            </w:r>
          </w:p>
          <w:p w14:paraId="53828099" w14:textId="77777777" w:rsidR="003E4E5F" w:rsidRDefault="003E4E5F" w:rsidP="00AB653D">
            <w:pPr>
              <w:jc w:val="both"/>
              <w:rPr>
                <w:rFonts w:cs="Arial"/>
                <w:b/>
                <w:color w:val="1F497D" w:themeColor="text2"/>
                <w:szCs w:val="24"/>
              </w:rPr>
            </w:pPr>
          </w:p>
        </w:tc>
      </w:tr>
      <w:tr w:rsidR="003E4E5F" w14:paraId="5061C9D2" w14:textId="77777777" w:rsidTr="00AB653D">
        <w:tc>
          <w:tcPr>
            <w:tcW w:w="4621" w:type="dxa"/>
            <w:shd w:val="clear" w:color="auto" w:fill="DBE5F1" w:themeFill="accent1" w:themeFillTint="33"/>
          </w:tcPr>
          <w:p w14:paraId="33BEC7D3" w14:textId="77777777" w:rsidR="003E4E5F" w:rsidRDefault="003E4E5F" w:rsidP="00AB653D">
            <w:pPr>
              <w:jc w:val="both"/>
              <w:rPr>
                <w:rFonts w:cs="Arial"/>
                <w:b/>
                <w:color w:val="1F497D" w:themeColor="text2"/>
                <w:szCs w:val="24"/>
              </w:rPr>
            </w:pPr>
            <w:r>
              <w:rPr>
                <w:rFonts w:cs="Arial"/>
                <w:b/>
                <w:color w:val="1F497D" w:themeColor="text2"/>
                <w:szCs w:val="24"/>
              </w:rPr>
              <w:t>Data Controller</w:t>
            </w:r>
          </w:p>
        </w:tc>
        <w:tc>
          <w:tcPr>
            <w:tcW w:w="4621" w:type="dxa"/>
            <w:shd w:val="clear" w:color="auto" w:fill="FFFFFF" w:themeFill="background1"/>
          </w:tcPr>
          <w:p w14:paraId="3904C42B" w14:textId="77777777" w:rsidR="003E4E5F" w:rsidRDefault="003E4E5F" w:rsidP="00AB653D">
            <w:pPr>
              <w:jc w:val="both"/>
              <w:rPr>
                <w:rFonts w:cs="Arial"/>
                <w:b/>
                <w:color w:val="1F497D" w:themeColor="text2"/>
                <w:szCs w:val="24"/>
              </w:rPr>
            </w:pPr>
            <w:r w:rsidRPr="00084776">
              <w:rPr>
                <w:rFonts w:cs="Arial"/>
                <w:b/>
                <w:color w:val="1F497D" w:themeColor="text2"/>
                <w:szCs w:val="24"/>
              </w:rPr>
              <w:t>A person who (either alone or jointly or in common with other persons) determines the purposes for which and the manner in which any personal data are, or are to be, processed</w:t>
            </w:r>
          </w:p>
          <w:p w14:paraId="06E66949" w14:textId="77777777" w:rsidR="003E4E5F" w:rsidRPr="00084776" w:rsidRDefault="003E4E5F" w:rsidP="00AB653D">
            <w:pPr>
              <w:jc w:val="both"/>
              <w:rPr>
                <w:rFonts w:cs="Arial"/>
                <w:b/>
                <w:color w:val="1F497D" w:themeColor="text2"/>
                <w:szCs w:val="24"/>
              </w:rPr>
            </w:pPr>
          </w:p>
        </w:tc>
      </w:tr>
      <w:tr w:rsidR="003E4E5F" w14:paraId="685140F0" w14:textId="77777777" w:rsidTr="00AB653D">
        <w:tc>
          <w:tcPr>
            <w:tcW w:w="4621" w:type="dxa"/>
            <w:shd w:val="clear" w:color="auto" w:fill="DBE5F1" w:themeFill="accent1" w:themeFillTint="33"/>
          </w:tcPr>
          <w:p w14:paraId="52884EE3" w14:textId="77777777" w:rsidR="003E4E5F" w:rsidRDefault="003E4E5F" w:rsidP="00AB653D">
            <w:pPr>
              <w:jc w:val="both"/>
              <w:rPr>
                <w:rFonts w:cs="Arial"/>
                <w:b/>
                <w:color w:val="1F497D" w:themeColor="text2"/>
                <w:szCs w:val="24"/>
              </w:rPr>
            </w:pPr>
            <w:r>
              <w:rPr>
                <w:rFonts w:cs="Arial"/>
                <w:b/>
                <w:color w:val="1F497D" w:themeColor="text2"/>
                <w:szCs w:val="24"/>
              </w:rPr>
              <w:t>Data Subject</w:t>
            </w:r>
          </w:p>
        </w:tc>
        <w:tc>
          <w:tcPr>
            <w:tcW w:w="4621" w:type="dxa"/>
          </w:tcPr>
          <w:p w14:paraId="52472CE3" w14:textId="77777777" w:rsidR="003E4E5F" w:rsidRDefault="003E4E5F" w:rsidP="00AB653D">
            <w:pPr>
              <w:jc w:val="both"/>
              <w:rPr>
                <w:rFonts w:cs="Arial"/>
                <w:b/>
                <w:color w:val="1F497D" w:themeColor="text2"/>
                <w:szCs w:val="24"/>
              </w:rPr>
            </w:pPr>
            <w:r>
              <w:rPr>
                <w:rFonts w:cs="Arial"/>
                <w:b/>
                <w:color w:val="1F497D" w:themeColor="text2"/>
                <w:szCs w:val="24"/>
              </w:rPr>
              <w:t>An individual who is the subject of personal data</w:t>
            </w:r>
          </w:p>
          <w:p w14:paraId="0F91D2D0" w14:textId="77777777" w:rsidR="003E4E5F" w:rsidRDefault="003E4E5F" w:rsidP="00AB653D">
            <w:pPr>
              <w:jc w:val="both"/>
              <w:rPr>
                <w:rFonts w:cs="Arial"/>
                <w:b/>
                <w:color w:val="1F497D" w:themeColor="text2"/>
                <w:szCs w:val="24"/>
              </w:rPr>
            </w:pPr>
          </w:p>
        </w:tc>
      </w:tr>
      <w:tr w:rsidR="003E4E5F" w14:paraId="4AC63492" w14:textId="77777777" w:rsidTr="00AB653D">
        <w:tc>
          <w:tcPr>
            <w:tcW w:w="4621" w:type="dxa"/>
            <w:shd w:val="clear" w:color="auto" w:fill="DBE5F1" w:themeFill="accent1" w:themeFillTint="33"/>
          </w:tcPr>
          <w:p w14:paraId="10352D0E" w14:textId="77777777" w:rsidR="003E4E5F" w:rsidRDefault="003E4E5F" w:rsidP="00AB653D">
            <w:pPr>
              <w:jc w:val="both"/>
              <w:rPr>
                <w:rFonts w:cs="Arial"/>
                <w:b/>
                <w:color w:val="1F497D" w:themeColor="text2"/>
                <w:szCs w:val="24"/>
              </w:rPr>
            </w:pPr>
            <w:r>
              <w:rPr>
                <w:rFonts w:cs="Arial"/>
                <w:b/>
                <w:color w:val="1F497D" w:themeColor="text2"/>
                <w:szCs w:val="24"/>
              </w:rPr>
              <w:t>Data Processor</w:t>
            </w:r>
          </w:p>
        </w:tc>
        <w:tc>
          <w:tcPr>
            <w:tcW w:w="4621" w:type="dxa"/>
          </w:tcPr>
          <w:p w14:paraId="630E1AD8" w14:textId="77777777" w:rsidR="003E4E5F" w:rsidRDefault="003E4E5F" w:rsidP="00AB653D">
            <w:pPr>
              <w:jc w:val="both"/>
              <w:rPr>
                <w:rFonts w:cs="Arial"/>
                <w:b/>
                <w:color w:val="1F497D" w:themeColor="text2"/>
                <w:szCs w:val="24"/>
              </w:rPr>
            </w:pPr>
            <w:r>
              <w:rPr>
                <w:rFonts w:cs="Arial"/>
                <w:b/>
                <w:color w:val="1F497D" w:themeColor="text2"/>
                <w:szCs w:val="24"/>
              </w:rPr>
              <w:t>In relation to personal data any person (other than an employee of the data controller), who processes the data on behalf of the data controller</w:t>
            </w:r>
          </w:p>
          <w:p w14:paraId="2F28C97B" w14:textId="77777777" w:rsidR="003E4E5F" w:rsidRDefault="003E4E5F" w:rsidP="00AB653D">
            <w:pPr>
              <w:jc w:val="both"/>
              <w:rPr>
                <w:rFonts w:cs="Arial"/>
                <w:b/>
                <w:color w:val="1F497D" w:themeColor="text2"/>
                <w:szCs w:val="24"/>
              </w:rPr>
            </w:pPr>
          </w:p>
        </w:tc>
      </w:tr>
      <w:tr w:rsidR="003E4E5F" w14:paraId="59F25D4B" w14:textId="77777777" w:rsidTr="00AB653D">
        <w:tc>
          <w:tcPr>
            <w:tcW w:w="4621" w:type="dxa"/>
            <w:shd w:val="clear" w:color="auto" w:fill="DBE5F1" w:themeFill="accent1" w:themeFillTint="33"/>
          </w:tcPr>
          <w:p w14:paraId="30DBAA6B" w14:textId="77777777" w:rsidR="003E4E5F" w:rsidRDefault="003E4E5F" w:rsidP="00AB653D">
            <w:pPr>
              <w:jc w:val="both"/>
              <w:rPr>
                <w:rFonts w:cs="Arial"/>
                <w:b/>
                <w:color w:val="1F497D" w:themeColor="text2"/>
                <w:szCs w:val="24"/>
              </w:rPr>
            </w:pPr>
            <w:proofErr w:type="spellStart"/>
            <w:r>
              <w:rPr>
                <w:rFonts w:cs="Arial"/>
                <w:b/>
                <w:color w:val="1F497D" w:themeColor="text2"/>
                <w:szCs w:val="24"/>
              </w:rPr>
              <w:t>PiPoT</w:t>
            </w:r>
            <w:proofErr w:type="spellEnd"/>
          </w:p>
        </w:tc>
        <w:tc>
          <w:tcPr>
            <w:tcW w:w="4621" w:type="dxa"/>
          </w:tcPr>
          <w:p w14:paraId="76259B7E" w14:textId="77777777" w:rsidR="003E4E5F" w:rsidRDefault="003E4E5F" w:rsidP="00AB653D">
            <w:pPr>
              <w:jc w:val="both"/>
              <w:rPr>
                <w:rFonts w:cs="Arial"/>
                <w:b/>
                <w:color w:val="1F497D" w:themeColor="text2"/>
                <w:szCs w:val="24"/>
              </w:rPr>
            </w:pPr>
            <w:r>
              <w:rPr>
                <w:rFonts w:cs="Arial"/>
                <w:b/>
                <w:color w:val="1F497D" w:themeColor="text2"/>
                <w:szCs w:val="24"/>
              </w:rPr>
              <w:t>Person in position of trust</w:t>
            </w:r>
          </w:p>
          <w:p w14:paraId="1BCB1BB3" w14:textId="77777777" w:rsidR="003E4E5F" w:rsidRDefault="003E4E5F" w:rsidP="00AB653D">
            <w:pPr>
              <w:jc w:val="both"/>
              <w:rPr>
                <w:rFonts w:cs="Arial"/>
                <w:b/>
                <w:color w:val="1F497D" w:themeColor="text2"/>
                <w:szCs w:val="24"/>
              </w:rPr>
            </w:pPr>
          </w:p>
        </w:tc>
      </w:tr>
      <w:tr w:rsidR="003E4E5F" w14:paraId="498A8264" w14:textId="77777777" w:rsidTr="00AB653D">
        <w:tc>
          <w:tcPr>
            <w:tcW w:w="4621" w:type="dxa"/>
            <w:shd w:val="clear" w:color="auto" w:fill="DBE5F1" w:themeFill="accent1" w:themeFillTint="33"/>
          </w:tcPr>
          <w:p w14:paraId="41F1FA16" w14:textId="77777777" w:rsidR="003E4E5F" w:rsidRDefault="003E4E5F" w:rsidP="00AB653D">
            <w:pPr>
              <w:jc w:val="both"/>
              <w:rPr>
                <w:rFonts w:cs="Arial"/>
                <w:b/>
                <w:color w:val="1F497D" w:themeColor="text2"/>
                <w:szCs w:val="24"/>
              </w:rPr>
            </w:pPr>
            <w:r>
              <w:rPr>
                <w:rFonts w:cs="Arial"/>
                <w:b/>
                <w:color w:val="1F497D" w:themeColor="text2"/>
                <w:szCs w:val="24"/>
              </w:rPr>
              <w:t>SAB</w:t>
            </w:r>
          </w:p>
        </w:tc>
        <w:tc>
          <w:tcPr>
            <w:tcW w:w="4621" w:type="dxa"/>
          </w:tcPr>
          <w:p w14:paraId="7B13F0C9" w14:textId="77777777" w:rsidR="003E4E5F" w:rsidRDefault="003E4E5F" w:rsidP="00AB653D">
            <w:pPr>
              <w:jc w:val="both"/>
              <w:rPr>
                <w:rFonts w:cs="Arial"/>
                <w:b/>
                <w:color w:val="1F497D" w:themeColor="text2"/>
                <w:szCs w:val="24"/>
              </w:rPr>
            </w:pPr>
            <w:r>
              <w:rPr>
                <w:rFonts w:cs="Arial"/>
                <w:b/>
                <w:color w:val="1F497D" w:themeColor="text2"/>
                <w:szCs w:val="24"/>
              </w:rPr>
              <w:t>Safeguarding Adults Board</w:t>
            </w:r>
          </w:p>
          <w:p w14:paraId="47094435" w14:textId="77777777" w:rsidR="003E4E5F" w:rsidRDefault="003E4E5F" w:rsidP="00AB653D">
            <w:pPr>
              <w:jc w:val="both"/>
              <w:rPr>
                <w:rFonts w:cs="Arial"/>
                <w:b/>
                <w:color w:val="1F497D" w:themeColor="text2"/>
                <w:szCs w:val="24"/>
              </w:rPr>
            </w:pPr>
          </w:p>
        </w:tc>
      </w:tr>
    </w:tbl>
    <w:p w14:paraId="696C601A" w14:textId="77777777" w:rsidR="00EA127A" w:rsidRPr="00EA127A" w:rsidRDefault="00EA127A" w:rsidP="00EA127A"/>
    <w:p w14:paraId="2959D617" w14:textId="77777777" w:rsidR="00EA127A" w:rsidRDefault="00EA127A" w:rsidP="00EA127A"/>
    <w:p w14:paraId="1159019E" w14:textId="77777777" w:rsidR="00EA127A" w:rsidRDefault="00EA127A" w:rsidP="00EA127A"/>
    <w:p w14:paraId="6FE27BF4" w14:textId="77777777" w:rsidR="00EA127A" w:rsidRDefault="00EA127A" w:rsidP="00EA127A"/>
    <w:p w14:paraId="25986830" w14:textId="77777777" w:rsidR="00EA127A" w:rsidRDefault="00EA127A" w:rsidP="00EA127A"/>
    <w:p w14:paraId="0859EBAC" w14:textId="77777777" w:rsidR="00EA127A" w:rsidRDefault="00EA127A" w:rsidP="00EA127A"/>
    <w:p w14:paraId="755C79F9" w14:textId="77777777" w:rsidR="00EA127A" w:rsidRDefault="00EA127A" w:rsidP="00EA127A"/>
    <w:p w14:paraId="270C2CD5" w14:textId="77777777" w:rsidR="00EA127A" w:rsidRDefault="00EA127A" w:rsidP="00EA127A"/>
    <w:p w14:paraId="15657844" w14:textId="77777777" w:rsidR="00EA127A" w:rsidRDefault="00EA127A" w:rsidP="00EA127A"/>
    <w:p w14:paraId="1612874D" w14:textId="174DB1F7" w:rsidR="00EA127A" w:rsidRDefault="005F0C5E" w:rsidP="005F0C5E">
      <w:pPr>
        <w:pStyle w:val="Heading1"/>
      </w:pPr>
      <w:bookmarkStart w:id="3" w:name="_Toc189659840"/>
      <w:r>
        <w:lastRenderedPageBreak/>
        <w:t>1. Introduction</w:t>
      </w:r>
      <w:bookmarkEnd w:id="3"/>
    </w:p>
    <w:p w14:paraId="077CFC2E" w14:textId="492A923C" w:rsidR="00951F8D" w:rsidRDefault="00951F8D" w:rsidP="005F0C5E">
      <w:r>
        <w:t xml:space="preserve">The Care Act requires that partner agencies and their commissioners of services should have clear recordings and information sharing guidance, set explicit timescales for action and are aware of the need to preserve evidence.  This policy builds upon existing relevant statutory provision.  The guidance for ‘Managing allegations against </w:t>
      </w:r>
      <w:r w:rsidR="00BC33CE">
        <w:t>P</w:t>
      </w:r>
      <w:r>
        <w:t xml:space="preserve">eople in a </w:t>
      </w:r>
      <w:r w:rsidR="00BC33CE">
        <w:t>P</w:t>
      </w:r>
      <w:r>
        <w:t>osition of Trust’ is contained within Section 14 of the Care and Support Statutory Guidance of the Care Act 2014.  Other relevant legislation includes:  Data Protection Act 2018</w:t>
      </w:r>
      <w:r w:rsidR="00CC235F">
        <w:t>/European General Data Protection Regulation 2018 (GDPR); Human Rights Act 1998 and employment legislation.</w:t>
      </w:r>
    </w:p>
    <w:p w14:paraId="6F9D52CC" w14:textId="1E6C763E" w:rsidR="00CC235F" w:rsidRDefault="00CC235F" w:rsidP="005F0C5E">
      <w:r>
        <w:t xml:space="preserve">As with all adult </w:t>
      </w:r>
      <w:r w:rsidR="00235E1B">
        <w:t>safeguarding work the six principles underpinning the Care Act 2014 should inform this area of activity:</w:t>
      </w:r>
    </w:p>
    <w:p w14:paraId="357AC3E1" w14:textId="60BCF439" w:rsidR="00235E1B" w:rsidRDefault="00235E1B" w:rsidP="005F0C5E">
      <w:r>
        <w:rPr>
          <w:b/>
          <w:bCs/>
        </w:rPr>
        <w:t xml:space="preserve">Empowerment – </w:t>
      </w:r>
      <w:r>
        <w:t>People being supported and encouraged to make their own decisions and informed consent</w:t>
      </w:r>
    </w:p>
    <w:p w14:paraId="22639052" w14:textId="1C850F3C" w:rsidR="00235E1B" w:rsidRDefault="00235E1B" w:rsidP="005F0C5E">
      <w:r>
        <w:rPr>
          <w:b/>
          <w:bCs/>
        </w:rPr>
        <w:t xml:space="preserve">Prevention – </w:t>
      </w:r>
      <w:r>
        <w:t>It is better to take action before harm occurs</w:t>
      </w:r>
    </w:p>
    <w:p w14:paraId="7E8D8349" w14:textId="446B8BF4" w:rsidR="00235E1B" w:rsidRDefault="00235E1B" w:rsidP="005F0C5E">
      <w:r>
        <w:rPr>
          <w:b/>
          <w:bCs/>
        </w:rPr>
        <w:t xml:space="preserve">Proportionality – </w:t>
      </w:r>
      <w:r>
        <w:t>The least intrusive response appropriate to the risk presented</w:t>
      </w:r>
    </w:p>
    <w:p w14:paraId="22EF7B9A" w14:textId="7DC3D1AA" w:rsidR="00235E1B" w:rsidRDefault="00235E1B" w:rsidP="005F0C5E">
      <w:r>
        <w:rPr>
          <w:b/>
          <w:bCs/>
        </w:rPr>
        <w:t xml:space="preserve">Protection – </w:t>
      </w:r>
      <w:r>
        <w:t>Support and representation for those in greatest need</w:t>
      </w:r>
    </w:p>
    <w:p w14:paraId="6C7005A6" w14:textId="641EDBCF" w:rsidR="00235E1B" w:rsidRDefault="00235E1B" w:rsidP="005F0C5E">
      <w:r>
        <w:rPr>
          <w:b/>
          <w:bCs/>
        </w:rPr>
        <w:t xml:space="preserve">Partnership – </w:t>
      </w:r>
      <w:r>
        <w:t>Local solutions through services working with their communities.  Communities have a part to play in preventing, detecting and reporting neglect and abuse</w:t>
      </w:r>
    </w:p>
    <w:p w14:paraId="4798B0CB" w14:textId="01535805" w:rsidR="00EA127A" w:rsidRDefault="00235E1B" w:rsidP="00EA127A">
      <w:r>
        <w:rPr>
          <w:b/>
          <w:bCs/>
        </w:rPr>
        <w:t xml:space="preserve">Accountability – </w:t>
      </w:r>
      <w:r>
        <w:t>Accountability and transparency in safeguarding practice</w:t>
      </w:r>
    </w:p>
    <w:p w14:paraId="29AE3FD3" w14:textId="3DD76C0F" w:rsidR="004A2373" w:rsidRDefault="0066566D" w:rsidP="00EA127A">
      <w:r>
        <w:t>This pol</w:t>
      </w:r>
      <w:r w:rsidR="009239C2">
        <w:t>icy gives guidance about the following considerations</w:t>
      </w:r>
      <w:r w:rsidR="00BB663C">
        <w:t>: information sharing; employer responsibilities; risk assessments; employee rights etc.  The Data Protection Act 2018, European General Data Protection Regulation 2018</w:t>
      </w:r>
      <w:r w:rsidR="00DD3706">
        <w:t xml:space="preserve"> and Human Rights Act 1998 must be taken into account within this process.</w:t>
      </w:r>
    </w:p>
    <w:p w14:paraId="5B323DA8" w14:textId="09462755" w:rsidR="00DD3706" w:rsidRDefault="00DD3706" w:rsidP="00EA127A">
      <w:r>
        <w:t>This policy relates to those instances where a relevant agency is alerted to information that may affect the suitability of a professional, or volunteer to work with an adult(s) at risk, where such information has orig</w:t>
      </w:r>
      <w:r w:rsidR="00895FDB">
        <w:t>inated from activity outside their professional or volunteer role and place of work.  The alleged victim, in such circumstances, does n</w:t>
      </w:r>
      <w:r w:rsidR="00013082">
        <w:t xml:space="preserve">ot have to </w:t>
      </w:r>
      <w:r w:rsidR="00650059">
        <w:t>be an adult at risk, for example, it could be their partner or a child.  This document refers to when there is an allegation which does not directly involve an adult at risk, but may have risk implications in relation to the employment or volunteer work of a person in a position of trust (</w:t>
      </w:r>
      <w:proofErr w:type="spellStart"/>
      <w:r w:rsidR="00650059">
        <w:t>PiPoT</w:t>
      </w:r>
      <w:proofErr w:type="spellEnd"/>
      <w:r w:rsidR="00650059">
        <w:t>).</w:t>
      </w:r>
    </w:p>
    <w:p w14:paraId="679B0F6D" w14:textId="5B891595" w:rsidR="00650059" w:rsidRDefault="00650059" w:rsidP="00EA127A">
      <w:pPr>
        <w:rPr>
          <w:b/>
          <w:bCs/>
          <w:color w:val="4F81BD" w:themeColor="accent1"/>
        </w:rPr>
      </w:pPr>
      <w:r>
        <w:rPr>
          <w:b/>
          <w:bCs/>
          <w:color w:val="4F81BD" w:themeColor="accent1"/>
        </w:rPr>
        <w:t>What is excluded from this policy?</w:t>
      </w:r>
    </w:p>
    <w:p w14:paraId="70B81002" w14:textId="2C270FBE" w:rsidR="00650059" w:rsidRDefault="00650059" w:rsidP="00EA127A">
      <w:r>
        <w:t xml:space="preserve">If an allegation is made that does concern the actions of a professional, or volunteer which relates to alleged abuse or neglect of a person with care and support needs and this amounts to a safeguarding enquiry, then such an allegation should be dealt </w:t>
      </w:r>
      <w:r>
        <w:lastRenderedPageBreak/>
        <w:t>with by following the local adul</w:t>
      </w:r>
      <w:r w:rsidR="00330667">
        <w:t>t safeguarding policy and procedures.  Such procedures should include directions about how such allegations are referred and investigated.</w:t>
      </w:r>
    </w:p>
    <w:p w14:paraId="48913534" w14:textId="51D7C638" w:rsidR="00330667" w:rsidRDefault="00330667" w:rsidP="00EA127A">
      <w:r>
        <w:t>Section 14 of the Care Act Care and Support Statutory Guidance states:</w:t>
      </w:r>
    </w:p>
    <w:p w14:paraId="1407ACD9" w14:textId="6F96F11C" w:rsidR="00750C6D" w:rsidRDefault="00750C6D" w:rsidP="00EA127A">
      <w:pPr>
        <w:rPr>
          <w:color w:val="1F497D" w:themeColor="text2"/>
        </w:rPr>
      </w:pPr>
      <w:r>
        <w:rPr>
          <w:color w:val="1F497D" w:themeColor="text2"/>
        </w:rPr>
        <w:t>Safeguarding is not a substitute for:</w:t>
      </w:r>
    </w:p>
    <w:p w14:paraId="5A957347" w14:textId="6775EA15" w:rsidR="00750C6D" w:rsidRDefault="00750C6D" w:rsidP="00750C6D">
      <w:pPr>
        <w:pStyle w:val="ListParagraph"/>
        <w:numPr>
          <w:ilvl w:val="0"/>
          <w:numId w:val="16"/>
        </w:numPr>
        <w:rPr>
          <w:color w:val="1F497D" w:themeColor="text2"/>
        </w:rPr>
      </w:pPr>
      <w:r>
        <w:rPr>
          <w:color w:val="1F497D" w:themeColor="text2"/>
        </w:rPr>
        <w:t>Providers’ responsibilities to provide safe and high quality care and support</w:t>
      </w:r>
    </w:p>
    <w:p w14:paraId="6E6A1196" w14:textId="77777777" w:rsidR="00CA7F81" w:rsidRDefault="00CA7F81" w:rsidP="00CA7F81">
      <w:pPr>
        <w:pStyle w:val="ListParagraph"/>
        <w:rPr>
          <w:color w:val="1F497D" w:themeColor="text2"/>
        </w:rPr>
      </w:pPr>
    </w:p>
    <w:p w14:paraId="776BBE93" w14:textId="72429F78" w:rsidR="00CA7F81" w:rsidRDefault="00CA7F81" w:rsidP="00CA7F81">
      <w:pPr>
        <w:pStyle w:val="ListParagraph"/>
        <w:numPr>
          <w:ilvl w:val="0"/>
          <w:numId w:val="16"/>
        </w:numPr>
        <w:rPr>
          <w:color w:val="1F497D" w:themeColor="text2"/>
        </w:rPr>
      </w:pPr>
      <w:r>
        <w:rPr>
          <w:color w:val="1F497D" w:themeColor="text2"/>
        </w:rPr>
        <w:t>Commissioners regularly assuring themselves of the safety and effectiveness of commissioned services</w:t>
      </w:r>
    </w:p>
    <w:p w14:paraId="01B7F926" w14:textId="77777777" w:rsidR="00CA7F81" w:rsidRPr="00CA7F81" w:rsidRDefault="00CA7F81" w:rsidP="00CA7F81">
      <w:pPr>
        <w:pStyle w:val="ListParagraph"/>
        <w:rPr>
          <w:color w:val="1F497D" w:themeColor="text2"/>
        </w:rPr>
      </w:pPr>
    </w:p>
    <w:p w14:paraId="141B988C" w14:textId="7EBC048E" w:rsidR="00CA7F81" w:rsidRDefault="00CA7F81" w:rsidP="00CA7F81">
      <w:pPr>
        <w:pStyle w:val="ListParagraph"/>
        <w:numPr>
          <w:ilvl w:val="0"/>
          <w:numId w:val="16"/>
        </w:numPr>
        <w:rPr>
          <w:color w:val="1F497D" w:themeColor="text2"/>
        </w:rPr>
      </w:pPr>
      <w:r>
        <w:rPr>
          <w:color w:val="1F497D" w:themeColor="text2"/>
        </w:rPr>
        <w:t>The Care Quality Commission (CQC) ensuring that regulated providers comply with the fundamental standards of care or by taking enforcement action</w:t>
      </w:r>
    </w:p>
    <w:p w14:paraId="055669C0" w14:textId="77777777" w:rsidR="00CA7F81" w:rsidRPr="00CA7F81" w:rsidRDefault="00CA7F81" w:rsidP="00CA7F81">
      <w:pPr>
        <w:pStyle w:val="ListParagraph"/>
        <w:rPr>
          <w:color w:val="1F497D" w:themeColor="text2"/>
        </w:rPr>
      </w:pPr>
    </w:p>
    <w:p w14:paraId="5B73D244" w14:textId="02BF699C" w:rsidR="00CA7F81" w:rsidRPr="00CA7F81" w:rsidRDefault="00CA7F81" w:rsidP="00CA7F81">
      <w:pPr>
        <w:pStyle w:val="ListParagraph"/>
        <w:numPr>
          <w:ilvl w:val="0"/>
          <w:numId w:val="16"/>
        </w:numPr>
        <w:rPr>
          <w:color w:val="1F497D" w:themeColor="text2"/>
        </w:rPr>
      </w:pPr>
      <w:r>
        <w:rPr>
          <w:color w:val="1F497D" w:themeColor="text2"/>
        </w:rPr>
        <w:t>The core duties of the Police to prevent and detect crime and protect life and property</w:t>
      </w:r>
    </w:p>
    <w:p w14:paraId="279DC526" w14:textId="1D1FE9A9" w:rsidR="00EA127A" w:rsidRDefault="00B86BAC" w:rsidP="00EA127A">
      <w:pPr>
        <w:rPr>
          <w:color w:val="1F497D" w:themeColor="text2"/>
        </w:rPr>
      </w:pPr>
      <w:r>
        <w:rPr>
          <w:color w:val="1F497D" w:themeColor="text2"/>
        </w:rPr>
        <w:t>Therefore, careful consideration should be given to distinguish clearly between:</w:t>
      </w:r>
    </w:p>
    <w:p w14:paraId="61D2B1B9" w14:textId="4D8C7580" w:rsidR="00B86BAC" w:rsidRDefault="00B86BAC" w:rsidP="00B86BAC">
      <w:pPr>
        <w:pStyle w:val="ListParagraph"/>
        <w:numPr>
          <w:ilvl w:val="0"/>
          <w:numId w:val="17"/>
        </w:numPr>
        <w:rPr>
          <w:color w:val="1F497D" w:themeColor="text2"/>
        </w:rPr>
      </w:pPr>
      <w:r>
        <w:rPr>
          <w:color w:val="1F497D" w:themeColor="text2"/>
        </w:rPr>
        <w:t>A complaint about a professional, or volunteer</w:t>
      </w:r>
    </w:p>
    <w:p w14:paraId="7FEAD36C" w14:textId="77777777" w:rsidR="006956D8" w:rsidRDefault="006956D8" w:rsidP="006956D8">
      <w:pPr>
        <w:pStyle w:val="ListParagraph"/>
        <w:rPr>
          <w:color w:val="1F497D" w:themeColor="text2"/>
        </w:rPr>
      </w:pPr>
    </w:p>
    <w:p w14:paraId="7DB2A849" w14:textId="5080194D" w:rsidR="00B86BAC" w:rsidRPr="00B86BAC" w:rsidRDefault="006956D8" w:rsidP="00B86BAC">
      <w:pPr>
        <w:pStyle w:val="ListParagraph"/>
        <w:numPr>
          <w:ilvl w:val="0"/>
          <w:numId w:val="17"/>
        </w:numPr>
        <w:rPr>
          <w:color w:val="1F497D" w:themeColor="text2"/>
        </w:rPr>
      </w:pPr>
      <w:r>
        <w:rPr>
          <w:color w:val="1F497D" w:themeColor="text2"/>
        </w:rPr>
        <w:t>Concerns raised about the quality of practice provided by the person in a position of trust, that do not meet the criteria for a safeguarding enquiry</w:t>
      </w:r>
    </w:p>
    <w:p w14:paraId="0634EEB3" w14:textId="2EDE86E8" w:rsidR="00F56DA1" w:rsidRDefault="006956D8" w:rsidP="00EA127A">
      <w:pPr>
        <w:rPr>
          <w:color w:val="1F497D" w:themeColor="text2"/>
        </w:rPr>
      </w:pPr>
      <w:r>
        <w:rPr>
          <w:color w:val="1F497D" w:themeColor="text2"/>
        </w:rPr>
        <w:t>Other relevant bod</w:t>
      </w:r>
      <w:r w:rsidR="00F56DA1">
        <w:rPr>
          <w:color w:val="1F497D" w:themeColor="text2"/>
        </w:rPr>
        <w:t>ies and their procedure should be used to recognise, respond to and resolve these issues.</w:t>
      </w:r>
    </w:p>
    <w:p w14:paraId="1C09D7DA" w14:textId="3381A2D7" w:rsidR="00F56DA1" w:rsidRDefault="00F56DA1" w:rsidP="00F56DA1">
      <w:pPr>
        <w:pStyle w:val="Heading1"/>
      </w:pPr>
      <w:bookmarkStart w:id="4" w:name="_Toc189659841"/>
      <w:r>
        <w:t>2.  Responsibilities</w:t>
      </w:r>
      <w:bookmarkEnd w:id="4"/>
    </w:p>
    <w:p w14:paraId="2E8F738D" w14:textId="49710AE1" w:rsidR="00F56DA1" w:rsidRDefault="00F56DA1" w:rsidP="00F56DA1">
      <w:pPr>
        <w:rPr>
          <w:b/>
          <w:bCs/>
          <w:color w:val="4F81BD" w:themeColor="accent1"/>
        </w:rPr>
      </w:pPr>
      <w:r>
        <w:rPr>
          <w:b/>
          <w:bCs/>
          <w:color w:val="4F81BD" w:themeColor="accent1"/>
        </w:rPr>
        <w:t>Safeguarding Adults Board</w:t>
      </w:r>
    </w:p>
    <w:p w14:paraId="791E01C7" w14:textId="28097C12" w:rsidR="00F56DA1" w:rsidRDefault="00F56DA1" w:rsidP="00F56DA1">
      <w:pPr>
        <w:rPr>
          <w:b/>
          <w:bCs/>
        </w:rPr>
      </w:pPr>
      <w:r>
        <w:t>Safe</w:t>
      </w:r>
      <w:r w:rsidR="00144824">
        <w:t xml:space="preserve">guarding Adults Boards need to establish and agree a framework and process, for how concerns and allegations against people working with adults with care and support needs (i.e. those in positions of trust) should be notified and responded to.  Whilst the focus on safeguarding adults work is to safeguard one or more identified adults with care and support needs, there are occasions when incidents are reported that do not involve an adult at risk, but indicate, nevertheless, that a risk may be posed to adults at risk by a </w:t>
      </w:r>
      <w:r w:rsidR="00144824">
        <w:rPr>
          <w:b/>
          <w:bCs/>
        </w:rPr>
        <w:t>person in a position of trust</w:t>
      </w:r>
      <w:r w:rsidR="006F16CF">
        <w:rPr>
          <w:b/>
          <w:bCs/>
        </w:rPr>
        <w:t>.</w:t>
      </w:r>
    </w:p>
    <w:p w14:paraId="30262E54" w14:textId="4F8310BC" w:rsidR="006F16CF" w:rsidRDefault="006F16CF" w:rsidP="00F56DA1">
      <w:r>
        <w:t xml:space="preserve">Each agency, in their annual assurance statement to the SAB, will be required to provide assurance that arrangements to deal with allegations against a person in a position of trust, within their organisation are adequate and are functioning effectively.  The SAB will, in turn, maintain oversight of whether these arrangements are considered to be working effectively between, and across partner agencies in the </w:t>
      </w:r>
      <w:r>
        <w:lastRenderedPageBreak/>
        <w:t>local authority area.  Appropriate cross organisational cha</w:t>
      </w:r>
      <w:r w:rsidR="00602426">
        <w:t>llenge</w:t>
      </w:r>
      <w:r w:rsidR="00540EE6">
        <w:t xml:space="preserve"> should be possible as it is an important part of this process.</w:t>
      </w:r>
    </w:p>
    <w:p w14:paraId="4539C4C4" w14:textId="6D0AA0AF" w:rsidR="00540EE6" w:rsidRDefault="00540EE6" w:rsidP="00F56DA1">
      <w:pPr>
        <w:rPr>
          <w:b/>
          <w:bCs/>
          <w:color w:val="4F81BD" w:themeColor="accent1"/>
        </w:rPr>
      </w:pPr>
      <w:r>
        <w:rPr>
          <w:b/>
          <w:bCs/>
          <w:color w:val="4F81BD" w:themeColor="accent1"/>
        </w:rPr>
        <w:t>Local Authority</w:t>
      </w:r>
    </w:p>
    <w:p w14:paraId="2043D9DF" w14:textId="684EC1CE" w:rsidR="00540EE6" w:rsidRDefault="00540EE6" w:rsidP="00F56DA1">
      <w:r>
        <w:t>The Local Authority relevant partners, are set out in section 6 (7) of the Care Act 2014.</w:t>
      </w:r>
    </w:p>
    <w:p w14:paraId="03B33C9B" w14:textId="244D2CB8" w:rsidR="00540EE6" w:rsidRDefault="00540EE6" w:rsidP="00F56DA1">
      <w:r>
        <w:t>Pursuant to the Care Act 2014, there is a requirement that Safeguarding Adults Board for local authorities</w:t>
      </w:r>
      <w:r w:rsidR="00FE4B7B">
        <w:t>, should establish and agree a framework and process for any organisation to respond to allegations against anyone, who works in either a paid or unpaid capacity with adults with care and support needs.</w:t>
      </w:r>
    </w:p>
    <w:p w14:paraId="43799B35" w14:textId="0A2D04B9" w:rsidR="00FE4B7B" w:rsidRDefault="00FE4B7B" w:rsidP="00F56DA1">
      <w:pPr>
        <w:rPr>
          <w:b/>
          <w:bCs/>
          <w:color w:val="4F81BD" w:themeColor="accent1"/>
        </w:rPr>
      </w:pPr>
      <w:r>
        <w:rPr>
          <w:b/>
          <w:bCs/>
          <w:color w:val="4F81BD" w:themeColor="accent1"/>
        </w:rPr>
        <w:t>Partners</w:t>
      </w:r>
    </w:p>
    <w:p w14:paraId="2E330ADC" w14:textId="5DE45BB4" w:rsidR="00FE4B7B" w:rsidRDefault="00017A85" w:rsidP="00F56DA1">
      <w:r>
        <w:t xml:space="preserve">Employers, student bodies and voluntary organisations should have clear and accessible policy and procedures in place setting out the </w:t>
      </w:r>
      <w:proofErr w:type="spellStart"/>
      <w:r>
        <w:t>PiPoT</w:t>
      </w:r>
      <w:proofErr w:type="spellEnd"/>
      <w:r>
        <w:t xml:space="preserve"> process. These should determine who should undertake an investigation</w:t>
      </w:r>
      <w:r w:rsidR="007D5FCF">
        <w:t xml:space="preserve"> and include timescales for investigation and include how support and advice will be made available to individuals against whom allegations have been made.  Individuals should also be made aware of their rights</w:t>
      </w:r>
      <w:r w:rsidR="0055054E">
        <w:t xml:space="preserve"> under employment legislation and any internal disciplinary procedures.</w:t>
      </w:r>
    </w:p>
    <w:p w14:paraId="18CC66EA" w14:textId="4C49AF44" w:rsidR="0055054E" w:rsidRDefault="0055054E" w:rsidP="00F56DA1">
      <w:r>
        <w:t>Any allegations against people who work with adults, should be reported immediately to a senior manager within the organisation.  Employers, student bodies and voluntary organisations should have their own source of advice (including legal advice) in place for dealing with such concerns.</w:t>
      </w:r>
    </w:p>
    <w:p w14:paraId="39BC3E2C" w14:textId="5F39CE40" w:rsidR="0055054E" w:rsidRDefault="00B419AB" w:rsidP="00F56DA1">
      <w:r>
        <w:t>Where such concerns are raised about someone who works with adults with care and support needs, it will be necessary for the employer (or student bod</w:t>
      </w:r>
      <w:r w:rsidR="007C67E8">
        <w:t>y or voluntary organisation) to assess any potential risk to adults with care and support needs who use their services and, if necessary, to take action to safeguar</w:t>
      </w:r>
      <w:r w:rsidR="002F68A7">
        <w:t>d those adults.</w:t>
      </w:r>
    </w:p>
    <w:p w14:paraId="6D616D66" w14:textId="385038E0" w:rsidR="002F68A7" w:rsidRDefault="002F68A7" w:rsidP="00F56DA1">
      <w:r>
        <w:t>Examples of such concerns could include allegations that relate to a person who works with adults with care and support needs who has:</w:t>
      </w:r>
    </w:p>
    <w:p w14:paraId="18C0144A" w14:textId="26DE7E39" w:rsidR="002F68A7" w:rsidRDefault="00F741ED" w:rsidP="00F741ED">
      <w:pPr>
        <w:pStyle w:val="ListParagraph"/>
        <w:numPr>
          <w:ilvl w:val="0"/>
          <w:numId w:val="18"/>
        </w:numPr>
      </w:pPr>
      <w:r>
        <w:t>Behaved in a way that has harmed, or may have harmed an adult or child</w:t>
      </w:r>
    </w:p>
    <w:p w14:paraId="79567158" w14:textId="77777777" w:rsidR="00F741ED" w:rsidRDefault="00F741ED" w:rsidP="00F741ED">
      <w:pPr>
        <w:pStyle w:val="ListParagraph"/>
      </w:pPr>
    </w:p>
    <w:p w14:paraId="66F7BFBB" w14:textId="494EE8FF" w:rsidR="00F741ED" w:rsidRDefault="00F741ED" w:rsidP="00F741ED">
      <w:pPr>
        <w:pStyle w:val="ListParagraph"/>
        <w:numPr>
          <w:ilvl w:val="0"/>
          <w:numId w:val="18"/>
        </w:numPr>
      </w:pPr>
      <w:r>
        <w:t>Possibly committed a criminal offence against, or related to, an adult or child</w:t>
      </w:r>
    </w:p>
    <w:p w14:paraId="2CC01EE8" w14:textId="77777777" w:rsidR="00F741ED" w:rsidRDefault="00F741ED" w:rsidP="00F741ED">
      <w:pPr>
        <w:pStyle w:val="ListParagraph"/>
      </w:pPr>
    </w:p>
    <w:p w14:paraId="38DDB6F1" w14:textId="5A90E699" w:rsidR="00F741ED" w:rsidRDefault="00F741ED" w:rsidP="00F741ED">
      <w:pPr>
        <w:pStyle w:val="ListParagraph"/>
        <w:numPr>
          <w:ilvl w:val="0"/>
          <w:numId w:val="18"/>
        </w:numPr>
      </w:pPr>
      <w:r>
        <w:t>Behaved towards an adult or child in a way that indicates they may pose a risk of harm to adults with care and support needs</w:t>
      </w:r>
    </w:p>
    <w:p w14:paraId="032C3FE9" w14:textId="77777777" w:rsidR="00F741ED" w:rsidRDefault="00F741ED" w:rsidP="00F741ED">
      <w:pPr>
        <w:pStyle w:val="ListParagraph"/>
      </w:pPr>
    </w:p>
    <w:p w14:paraId="59901B07" w14:textId="77777777" w:rsidR="00A0672A" w:rsidRDefault="00A0672A" w:rsidP="00F741ED">
      <w:pPr>
        <w:pStyle w:val="ListParagraph"/>
      </w:pPr>
    </w:p>
    <w:p w14:paraId="5DB8DBBC" w14:textId="77777777" w:rsidR="00A0672A" w:rsidRDefault="00A0672A" w:rsidP="00F741ED">
      <w:pPr>
        <w:pStyle w:val="ListParagraph"/>
      </w:pPr>
    </w:p>
    <w:p w14:paraId="764D00FF" w14:textId="1F0D0767" w:rsidR="00F741ED" w:rsidRDefault="00F741ED" w:rsidP="00F741ED">
      <w:pPr>
        <w:rPr>
          <w:b/>
          <w:bCs/>
          <w:color w:val="4F81BD" w:themeColor="accent1"/>
        </w:rPr>
      </w:pPr>
      <w:r>
        <w:rPr>
          <w:b/>
          <w:bCs/>
          <w:color w:val="4F81BD" w:themeColor="accent1"/>
        </w:rPr>
        <w:lastRenderedPageBreak/>
        <w:t>Children</w:t>
      </w:r>
    </w:p>
    <w:p w14:paraId="5A013A0D" w14:textId="3BFDCEF8" w:rsidR="00F741ED" w:rsidRDefault="00F741ED" w:rsidP="00F741ED">
      <w:r>
        <w:t>When a person’s conduct towards an adult may impact on their suitability to work with, or continue to work with children, this must be referred to the Local Authority Designated Officer (LADO).  Where concerns have been identified about their practice and they are a parent/carer for children, then consideration by the Data Controller should be given to whether a referral to Children’s Services is required.</w:t>
      </w:r>
    </w:p>
    <w:p w14:paraId="35BA7C4C" w14:textId="42C16AE7" w:rsidR="00B018EB" w:rsidRDefault="00B018EB" w:rsidP="00F741ED">
      <w:pPr>
        <w:rPr>
          <w:b/>
          <w:bCs/>
          <w:color w:val="4F81BD" w:themeColor="accent1"/>
        </w:rPr>
      </w:pPr>
      <w:r>
        <w:rPr>
          <w:b/>
          <w:bCs/>
          <w:color w:val="4F81BD" w:themeColor="accent1"/>
        </w:rPr>
        <w:t>Concerns raised by Local Authority Children’s Teams</w:t>
      </w:r>
    </w:p>
    <w:p w14:paraId="50C62971" w14:textId="53889778" w:rsidR="00B018EB" w:rsidRDefault="00B018EB" w:rsidP="00F741ED">
      <w:r>
        <w:t>Where a concern has arisen following an assessment by the local authority children’s teams, they must decide through their assessment whether the</w:t>
      </w:r>
      <w:r w:rsidR="000F6295">
        <w:t xml:space="preserve"> employing organisation is required to be informed in order to manage any risks.</w:t>
      </w:r>
    </w:p>
    <w:p w14:paraId="43896E02" w14:textId="31CA66F8" w:rsidR="000828EF" w:rsidRDefault="000828EF" w:rsidP="00F741ED">
      <w:pPr>
        <w:rPr>
          <w:b/>
          <w:bCs/>
          <w:color w:val="4F81BD" w:themeColor="accent1"/>
        </w:rPr>
      </w:pPr>
      <w:r>
        <w:rPr>
          <w:b/>
          <w:bCs/>
          <w:color w:val="4F81BD" w:themeColor="accent1"/>
        </w:rPr>
        <w:t>Data Controller</w:t>
      </w:r>
    </w:p>
    <w:p w14:paraId="089E28A5" w14:textId="55C235F5" w:rsidR="000828EF" w:rsidRDefault="000828EF" w:rsidP="00F741ED">
      <w:r>
        <w:t xml:space="preserve">If an organisation is in receipt of information, that gives concern about a person in a position of trust, then that organisation should give careful consideration as to whether they should share the information with the person’s employers (or student body or voluntary organisation), to enable them to conduct an effective risk assessment.  The receiving organisation becomes the </w:t>
      </w:r>
      <w:r>
        <w:rPr>
          <w:b/>
          <w:bCs/>
        </w:rPr>
        <w:t xml:space="preserve">Data Controller </w:t>
      </w:r>
      <w:r>
        <w:t xml:space="preserve">as defined by the </w:t>
      </w:r>
      <w:hyperlink r:id="rId13" w:history="1">
        <w:r w:rsidRPr="00794AA2">
          <w:rPr>
            <w:rStyle w:val="Hyperlink"/>
          </w:rPr>
          <w:t>Data Protection Act 2018</w:t>
        </w:r>
      </w:hyperlink>
      <w:r>
        <w:t xml:space="preserve"> and </w:t>
      </w:r>
      <w:hyperlink r:id="rId14" w:history="1">
        <w:r w:rsidRPr="007436C5">
          <w:rPr>
            <w:rStyle w:val="Hyperlink"/>
          </w:rPr>
          <w:t>GDPR</w:t>
        </w:r>
        <w:r w:rsidR="00BC4D8A" w:rsidRPr="007436C5">
          <w:rPr>
            <w:rStyle w:val="Hyperlink"/>
          </w:rPr>
          <w:t xml:space="preserve"> Article 4</w:t>
        </w:r>
      </w:hyperlink>
      <w:r w:rsidR="00BC4D8A">
        <w:t xml:space="preserve"> (please refer to Section 4.0 Legal Framework).</w:t>
      </w:r>
    </w:p>
    <w:p w14:paraId="78953A0C" w14:textId="59F1CA19" w:rsidR="00BC4D8A" w:rsidRDefault="00BC128E" w:rsidP="00F741ED">
      <w:pPr>
        <w:rPr>
          <w:b/>
          <w:bCs/>
        </w:rPr>
      </w:pPr>
      <w:r>
        <w:t>P</w:t>
      </w:r>
      <w:r w:rsidR="00E6440F">
        <w:t>artner agencies and the service providers they commission, are individual</w:t>
      </w:r>
      <w:r w:rsidR="002B6222">
        <w:t xml:space="preserve">ly responsible for ensuring that information relating to </w:t>
      </w:r>
      <w:proofErr w:type="spellStart"/>
      <w:r w:rsidR="002B6222">
        <w:t>PiPoT</w:t>
      </w:r>
      <w:proofErr w:type="spellEnd"/>
      <w:r w:rsidR="002B6222">
        <w:t xml:space="preserve"> concerns, are shared and escalated outside of their organisation in circumstances where this is required.  Such sharing of information must be lawful, proportionate and appropriate.  Organisations are responsible for making the judgement that this is the case in every instance when they are the </w:t>
      </w:r>
      <w:r w:rsidR="002B6222">
        <w:rPr>
          <w:b/>
          <w:bCs/>
        </w:rPr>
        <w:t>Data Controller.</w:t>
      </w:r>
    </w:p>
    <w:p w14:paraId="3F1FB1A1" w14:textId="0448070B" w:rsidR="002B6222" w:rsidRDefault="002B6222" w:rsidP="00F741ED">
      <w:r>
        <w:t>If, following an investigation, a Person in a Position of Trust is removed, by either dismissal or permanent red</w:t>
      </w:r>
      <w:r w:rsidR="008E382E">
        <w:t xml:space="preserve">eployment, to a non-regulated activity, because they pose a risk of harm to adults with care and support needs (or would have, had the person not left first), then the employer (or student body or voluntary organisation), has a legal duty to refer the person to the Disclosure and Barring Service (DBS).  </w:t>
      </w:r>
      <w:r w:rsidR="00C77B98">
        <w:t>It is an offence to fail to make a referral without good reason.  If unsure, contact the DBS for further advice</w:t>
      </w:r>
      <w:r w:rsidR="00F70D56">
        <w:t>.  In addition, where appropriate, employers should report workers to the statutory and other bodies responsible for professional regulation such as the Health and Care Professions Council, General Medical Council and the Nursing and Midwifery Council.</w:t>
      </w:r>
    </w:p>
    <w:p w14:paraId="53ED5FFF" w14:textId="23609354" w:rsidR="00F70D56" w:rsidRDefault="00F70D56" w:rsidP="00F741ED">
      <w:r>
        <w:t xml:space="preserve">If a person subject to a </w:t>
      </w:r>
      <w:proofErr w:type="spellStart"/>
      <w:r>
        <w:t>PiPoT</w:t>
      </w:r>
      <w:proofErr w:type="spellEnd"/>
      <w:r>
        <w:t xml:space="preserve"> investigation, attempts to leave employment by resigning in an effort to avoid the investigation or disciplinary process, the employer (or student body or voluntary organisation), is entitled </w:t>
      </w:r>
      <w:r>
        <w:rPr>
          <w:b/>
          <w:bCs/>
        </w:rPr>
        <w:t xml:space="preserve">not </w:t>
      </w:r>
      <w:r>
        <w:t>to a</w:t>
      </w:r>
      <w:r w:rsidR="0000355C">
        <w:t xml:space="preserve">ccept that resignation and conclude whatever process has been utilised with the evidence before them.  If </w:t>
      </w:r>
      <w:r w:rsidR="0000355C">
        <w:lastRenderedPageBreak/>
        <w:t>the investigation outcome warrants it, the employer can dismiss the employee or volunteer instead and make a referral to the DBS.  This would also be the case where the person intends to take up legitimate employment or a course of study.</w:t>
      </w:r>
    </w:p>
    <w:p w14:paraId="787B24F0" w14:textId="7BBF1D83" w:rsidR="0000355C" w:rsidRDefault="00230314" w:rsidP="00230314">
      <w:pPr>
        <w:pStyle w:val="Heading1"/>
      </w:pPr>
      <w:bookmarkStart w:id="5" w:name="_Toc189659842"/>
      <w:r>
        <w:t>3.  Information Sharing</w:t>
      </w:r>
      <w:bookmarkEnd w:id="5"/>
    </w:p>
    <w:p w14:paraId="30153A15" w14:textId="5B4B1DDB" w:rsidR="00230314" w:rsidRDefault="00F77641" w:rsidP="00230314">
      <w:r>
        <w:t>Both the GDPR and the Data Protection Act 2018</w:t>
      </w:r>
      <w:r w:rsidR="00A0786E">
        <w:t xml:space="preserve"> identify statutory obligations and gateways when sharing a data subject's information.  In par</w:t>
      </w:r>
      <w:r w:rsidR="009E2AE6">
        <w:t>ticular</w:t>
      </w:r>
      <w:r w:rsidR="0036615F">
        <w:t>, Data Protection Act 2018 Schedule 8 provides for the conditions to share information based on safeguarding and vital interests.</w:t>
      </w:r>
    </w:p>
    <w:p w14:paraId="0C37E806" w14:textId="4DD7EAD2" w:rsidR="0036615F" w:rsidRDefault="0036615F" w:rsidP="00230314">
      <w:r>
        <w:t>In all cases the sharing of information must be legal, justifiable and proportionate, based on the potential or actual harm to adults or children at risk and the rationale for decision-making should al</w:t>
      </w:r>
      <w:r w:rsidR="005C2BE9">
        <w:t>ways be recorded.</w:t>
      </w:r>
    </w:p>
    <w:p w14:paraId="2CB12FDE" w14:textId="0EA6EF97" w:rsidR="005C2BE9" w:rsidRDefault="005C2BE9" w:rsidP="00230314">
      <w:r>
        <w:t>When sharing information about adults, children and young people at risk between agencies it should only be shared:</w:t>
      </w:r>
    </w:p>
    <w:p w14:paraId="47A665A2" w14:textId="7B325362" w:rsidR="005C2BE9" w:rsidRDefault="002D1BE7" w:rsidP="002D1BE7">
      <w:pPr>
        <w:pStyle w:val="ListParagraph"/>
        <w:numPr>
          <w:ilvl w:val="0"/>
          <w:numId w:val="19"/>
        </w:numPr>
        <w:rPr>
          <w:color w:val="1F497D" w:themeColor="text2"/>
        </w:rPr>
      </w:pPr>
      <w:r>
        <w:rPr>
          <w:color w:val="1F497D" w:themeColor="text2"/>
        </w:rPr>
        <w:t>When there is a legal justification for doing so</w:t>
      </w:r>
    </w:p>
    <w:p w14:paraId="608DFCAE" w14:textId="77777777" w:rsidR="002D1BE7" w:rsidRDefault="002D1BE7" w:rsidP="002D1BE7">
      <w:pPr>
        <w:pStyle w:val="ListParagraph"/>
        <w:rPr>
          <w:color w:val="1F497D" w:themeColor="text2"/>
        </w:rPr>
      </w:pPr>
    </w:p>
    <w:p w14:paraId="6851BD96" w14:textId="16FCE552" w:rsidR="002D1BE7" w:rsidRDefault="002D1BE7" w:rsidP="002D1BE7">
      <w:pPr>
        <w:pStyle w:val="ListParagraph"/>
        <w:numPr>
          <w:ilvl w:val="0"/>
          <w:numId w:val="19"/>
        </w:numPr>
        <w:rPr>
          <w:color w:val="1F497D" w:themeColor="text2"/>
        </w:rPr>
      </w:pPr>
      <w:r>
        <w:rPr>
          <w:color w:val="1F497D" w:themeColor="text2"/>
        </w:rPr>
        <w:t>Where relevant and necessary, not simply all the information held</w:t>
      </w:r>
    </w:p>
    <w:p w14:paraId="2B5350DD" w14:textId="77777777" w:rsidR="002D1BE7" w:rsidRPr="002D1BE7" w:rsidRDefault="002D1BE7" w:rsidP="002D1BE7">
      <w:pPr>
        <w:pStyle w:val="ListParagraph"/>
        <w:rPr>
          <w:color w:val="1F497D" w:themeColor="text2"/>
        </w:rPr>
      </w:pPr>
    </w:p>
    <w:p w14:paraId="482E17C9" w14:textId="1A246F63" w:rsidR="002D1BE7" w:rsidRDefault="002D1BE7" w:rsidP="002D1BE7">
      <w:pPr>
        <w:pStyle w:val="ListParagraph"/>
        <w:numPr>
          <w:ilvl w:val="0"/>
          <w:numId w:val="19"/>
        </w:numPr>
        <w:rPr>
          <w:color w:val="1F497D" w:themeColor="text2"/>
        </w:rPr>
      </w:pPr>
      <w:r>
        <w:rPr>
          <w:color w:val="1F497D" w:themeColor="text2"/>
        </w:rPr>
        <w:t>With the relevant people who need all or some of the information</w:t>
      </w:r>
    </w:p>
    <w:p w14:paraId="03944FAE" w14:textId="77777777" w:rsidR="002D1BE7" w:rsidRPr="002D1BE7" w:rsidRDefault="002D1BE7" w:rsidP="002D1BE7">
      <w:pPr>
        <w:pStyle w:val="ListParagraph"/>
        <w:rPr>
          <w:color w:val="1F497D" w:themeColor="text2"/>
        </w:rPr>
      </w:pPr>
    </w:p>
    <w:p w14:paraId="4C01FEAF" w14:textId="052EE863" w:rsidR="002D1BE7" w:rsidRDefault="002D1BE7" w:rsidP="002D1BE7">
      <w:pPr>
        <w:pStyle w:val="ListParagraph"/>
        <w:numPr>
          <w:ilvl w:val="0"/>
          <w:numId w:val="19"/>
        </w:numPr>
        <w:rPr>
          <w:color w:val="1F497D" w:themeColor="text2"/>
        </w:rPr>
      </w:pPr>
      <w:r>
        <w:rPr>
          <w:color w:val="1F497D" w:themeColor="text2"/>
        </w:rPr>
        <w:t>When there is a specific need for the information to be shared at that time</w:t>
      </w:r>
    </w:p>
    <w:p w14:paraId="1E4F4322" w14:textId="77777777" w:rsidR="009A5AB5" w:rsidRPr="009A5AB5" w:rsidRDefault="009A5AB5" w:rsidP="009A5AB5">
      <w:pPr>
        <w:pStyle w:val="ListParagraph"/>
        <w:rPr>
          <w:color w:val="1F497D" w:themeColor="text2"/>
        </w:rPr>
      </w:pPr>
    </w:p>
    <w:p w14:paraId="3359FD18" w14:textId="5F872CC7" w:rsidR="009A5AB5" w:rsidRDefault="009A5AB5" w:rsidP="009A5AB5">
      <w:pPr>
        <w:rPr>
          <w:b/>
          <w:bCs/>
          <w:color w:val="4F81BD" w:themeColor="accent1"/>
        </w:rPr>
      </w:pPr>
      <w:r>
        <w:rPr>
          <w:b/>
          <w:bCs/>
          <w:color w:val="4F81BD" w:themeColor="accent1"/>
        </w:rPr>
        <w:t>Timescales</w:t>
      </w:r>
    </w:p>
    <w:p w14:paraId="71951C8D" w14:textId="7D73ACA7" w:rsidR="009A5AB5" w:rsidRDefault="009A5AB5" w:rsidP="009A5AB5">
      <w:r>
        <w:t>This policy applies whether the allegation or incident is current or historical.</w:t>
      </w:r>
    </w:p>
    <w:p w14:paraId="53AB508D" w14:textId="4D34CD51" w:rsidR="009A5AB5" w:rsidRDefault="009A5AB5" w:rsidP="009A5AB5">
      <w:pPr>
        <w:rPr>
          <w:b/>
          <w:bCs/>
          <w:color w:val="4F81BD" w:themeColor="accent1"/>
        </w:rPr>
      </w:pPr>
      <w:r>
        <w:rPr>
          <w:b/>
          <w:bCs/>
          <w:color w:val="4F81BD" w:themeColor="accent1"/>
        </w:rPr>
        <w:t>Retention Schedules</w:t>
      </w:r>
    </w:p>
    <w:p w14:paraId="338A1744" w14:textId="10049C58" w:rsidR="009A5AB5" w:rsidRDefault="009A5AB5" w:rsidP="009A5AB5">
      <w:r>
        <w:t>Information relating to referrals that do not progress will be subject to a retention period of 3 years from the date of decision.  Information to those referrals that progress to disclosure will be subject to a retention period of 10 years from date of decision.</w:t>
      </w:r>
    </w:p>
    <w:p w14:paraId="2CDED91C" w14:textId="5BC0F883" w:rsidR="009A5AB5" w:rsidRDefault="009A5AB5" w:rsidP="009A5AB5">
      <w:pPr>
        <w:pStyle w:val="Heading1"/>
      </w:pPr>
      <w:bookmarkStart w:id="6" w:name="_Toc189659843"/>
      <w:r>
        <w:t>4.  Legal Framework</w:t>
      </w:r>
      <w:bookmarkEnd w:id="6"/>
    </w:p>
    <w:p w14:paraId="383922CC" w14:textId="64F9EE09" w:rsidR="00E108FF" w:rsidRDefault="00E108FF" w:rsidP="00E108FF">
      <w:r>
        <w:t>Both the Data Protection Act 2018 and the GDPR define the following:</w:t>
      </w:r>
    </w:p>
    <w:p w14:paraId="6E9FD096" w14:textId="086F18A0" w:rsidR="00E108FF" w:rsidRDefault="00E108FF" w:rsidP="00E108FF">
      <w:r>
        <w:rPr>
          <w:b/>
          <w:bCs/>
        </w:rPr>
        <w:t xml:space="preserve">Data Subject </w:t>
      </w:r>
      <w:r>
        <w:t>means an individual who is the subject of personal data</w:t>
      </w:r>
    </w:p>
    <w:p w14:paraId="023BCAA9" w14:textId="6C719A00" w:rsidR="008A762B" w:rsidRDefault="008A762B" w:rsidP="00E108FF">
      <w:r>
        <w:t>In other words, the data subject is the individual whom particular personal data</w:t>
      </w:r>
      <w:r w:rsidR="00E74DB6">
        <w:t xml:space="preserve"> is about</w:t>
      </w:r>
      <w:r w:rsidR="004E6B5E">
        <w:t>.  Whilst the legislation is no longer applicable once a data subject is deceased, a common law duty of confidentiality may result in certain restrictions being considered on a case by case basis.</w:t>
      </w:r>
    </w:p>
    <w:p w14:paraId="454756EF" w14:textId="38D1D35D" w:rsidR="004E6B5E" w:rsidRDefault="004E6B5E" w:rsidP="00E108FF">
      <w:r w:rsidRPr="004E6B5E">
        <w:rPr>
          <w:b/>
          <w:bCs/>
        </w:rPr>
        <w:lastRenderedPageBreak/>
        <w:t xml:space="preserve">Data Controller </w:t>
      </w:r>
      <w:r w:rsidRPr="004E6B5E">
        <w:t>means a person who</w:t>
      </w:r>
      <w:r>
        <w:t xml:space="preserve"> (either alone or jointly or in common with other persons) determines the purposes for which and the manner in which any personal data</w:t>
      </w:r>
      <w:r w:rsidR="00FE6423">
        <w:t xml:space="preserve"> are, or are to be, processed.</w:t>
      </w:r>
    </w:p>
    <w:p w14:paraId="5C9B0591" w14:textId="33CA6AC3" w:rsidR="00FE6423" w:rsidRDefault="00FE6423" w:rsidP="00E108FF">
      <w:r>
        <w:t>In other words, the Data Controller is the organisation or individual who first becomes aware of the allegation or concern.  The Data Controller is considered to be the owner of the information and has responsibility for taking appropriate action i.e. risk assess and decide whether disclosure to other bodies should be made.</w:t>
      </w:r>
    </w:p>
    <w:p w14:paraId="64B2D244" w14:textId="591DA18E" w:rsidR="00FE6423" w:rsidRDefault="00FE6423" w:rsidP="00E108FF">
      <w:r>
        <w:t>It is the Data Controller that must exercise control over the processing and carry data protection responsibility for it.  The Data Controller must be a “person” recognised in law, that is to say:</w:t>
      </w:r>
    </w:p>
    <w:p w14:paraId="7DF6F3DD" w14:textId="4EF706A4" w:rsidR="00FE6423" w:rsidRDefault="00FE6423" w:rsidP="00FE6423">
      <w:pPr>
        <w:pStyle w:val="ListParagraph"/>
        <w:numPr>
          <w:ilvl w:val="0"/>
          <w:numId w:val="21"/>
        </w:numPr>
      </w:pPr>
      <w:r>
        <w:t>Individuals</w:t>
      </w:r>
    </w:p>
    <w:p w14:paraId="5DE39973" w14:textId="38B315DC" w:rsidR="00FE6423" w:rsidRDefault="00FE6423" w:rsidP="00FE6423">
      <w:pPr>
        <w:pStyle w:val="ListParagraph"/>
        <w:numPr>
          <w:ilvl w:val="0"/>
          <w:numId w:val="21"/>
        </w:numPr>
      </w:pPr>
      <w:r>
        <w:t>Organisations; and</w:t>
      </w:r>
    </w:p>
    <w:p w14:paraId="2DCEF611" w14:textId="567C29E5" w:rsidR="00FE6423" w:rsidRDefault="00FE6423" w:rsidP="00FE6423">
      <w:pPr>
        <w:pStyle w:val="ListParagraph"/>
        <w:numPr>
          <w:ilvl w:val="0"/>
          <w:numId w:val="21"/>
        </w:numPr>
      </w:pPr>
      <w:r>
        <w:t>Other corporate and unincorporated bodies of persons</w:t>
      </w:r>
    </w:p>
    <w:p w14:paraId="13B140F5" w14:textId="10977773" w:rsidR="00FE6423" w:rsidRDefault="00FE6423" w:rsidP="00FE6423">
      <w:r>
        <w:t>Data Controllers will usually be organisations, but can be individuals, for example, self-employed consultants.  An individual given responsibility for data protection in an organisation will be acting on behalf of the organisation, which will be the Data Controller.</w:t>
      </w:r>
    </w:p>
    <w:p w14:paraId="0CC1488D" w14:textId="184B973A" w:rsidR="00FE6423" w:rsidRDefault="00FE6423" w:rsidP="00FE6423">
      <w:r>
        <w:t>In relation to Data Controllers, the term jointly is used where two or more persons (usually organisations), act together to decide the purpose and manner of any data processing.  The term in common applie</w:t>
      </w:r>
      <w:r w:rsidR="009F0080">
        <w:t>s where two or more persons, share a pool of personal data that they process independently of each other.  Data Controllers must ensure that any processing of personal data, for which they are responsible, complies with the act.  Failure to do so</w:t>
      </w:r>
      <w:r w:rsidR="00012349">
        <w:t>, risks enforcement action, even prosecution and compensation claims from individuals.</w:t>
      </w:r>
    </w:p>
    <w:p w14:paraId="299C4F25" w14:textId="134FC2E4" w:rsidR="00012349" w:rsidRDefault="00012349" w:rsidP="00FE6423">
      <w:r>
        <w:rPr>
          <w:b/>
          <w:bCs/>
        </w:rPr>
        <w:t xml:space="preserve">Data Processor </w:t>
      </w:r>
      <w:r>
        <w:t>in relation to personal data, means any person (other than an employee of the Data Controller</w:t>
      </w:r>
      <w:r w:rsidR="000F5C1B">
        <w:t xml:space="preserve">, who processes the data on behalf </w:t>
      </w:r>
      <w:proofErr w:type="spellStart"/>
      <w:r w:rsidR="000F5C1B">
        <w:t>or</w:t>
      </w:r>
      <w:proofErr w:type="spellEnd"/>
      <w:r w:rsidR="000F5C1B">
        <w:t xml:space="preserve"> the Data Controller).</w:t>
      </w:r>
    </w:p>
    <w:p w14:paraId="3BCF6448" w14:textId="34327BFD" w:rsidR="000F5C1B" w:rsidRDefault="000F5C1B" w:rsidP="00FE6423">
      <w:r>
        <w:t>The Data Protection Act 2018 and GDPR</w:t>
      </w:r>
      <w:r w:rsidR="00427580">
        <w:t xml:space="preserve"> (please refer to Appendix 1) requires anyone handling personal information to comply with the principles set out in the Acts</w:t>
      </w:r>
      <w:r w:rsidR="00153994">
        <w:t>:</w:t>
      </w:r>
    </w:p>
    <w:p w14:paraId="0AFB218E" w14:textId="3C84B198" w:rsidR="00153994" w:rsidRDefault="00153994" w:rsidP="00153994">
      <w:pPr>
        <w:pStyle w:val="ListParagraph"/>
        <w:numPr>
          <w:ilvl w:val="0"/>
          <w:numId w:val="22"/>
        </w:numPr>
      </w:pPr>
      <w:r>
        <w:t>The information processed must be fair and lawful</w:t>
      </w:r>
    </w:p>
    <w:p w14:paraId="4755CE91" w14:textId="63189A30" w:rsidR="00153994" w:rsidRDefault="00153994" w:rsidP="00153994">
      <w:pPr>
        <w:pStyle w:val="ListParagraph"/>
        <w:numPr>
          <w:ilvl w:val="0"/>
          <w:numId w:val="22"/>
        </w:numPr>
      </w:pPr>
      <w:r>
        <w:t>Personal data must be kept in a secure and confidential place</w:t>
      </w:r>
    </w:p>
    <w:p w14:paraId="4951FAF9" w14:textId="606AABBB" w:rsidR="00153994" w:rsidRDefault="00153994" w:rsidP="00153994">
      <w:r>
        <w:t xml:space="preserve">The </w:t>
      </w:r>
      <w:hyperlink r:id="rId15" w:history="1">
        <w:r w:rsidRPr="00577B45">
          <w:rPr>
            <w:rStyle w:val="Hyperlink"/>
          </w:rPr>
          <w:t>Information Commissioners Office</w:t>
        </w:r>
      </w:hyperlink>
      <w:r>
        <w:t xml:space="preserve"> (ICO) upholds information</w:t>
      </w:r>
      <w:r w:rsidR="00013922">
        <w:t xml:space="preserve"> rights in the public interest.  For further information about the law relating to data use/control can be found on their website.</w:t>
      </w:r>
    </w:p>
    <w:p w14:paraId="2701BE71" w14:textId="582F994C" w:rsidR="00013922" w:rsidRDefault="00E51AD5" w:rsidP="00153994">
      <w:r>
        <w:t xml:space="preserve">The </w:t>
      </w:r>
      <w:hyperlink r:id="rId16" w:history="1">
        <w:r w:rsidRPr="00EC5588">
          <w:rPr>
            <w:rStyle w:val="Hyperlink"/>
          </w:rPr>
          <w:t>Crime and Disorder Act 1998</w:t>
        </w:r>
      </w:hyperlink>
      <w:r>
        <w:t xml:space="preserve"> states that any person may disclose information to a relevant authority under Section 115 of the Act:</w:t>
      </w:r>
    </w:p>
    <w:p w14:paraId="170E97C4" w14:textId="1A09EC23" w:rsidR="00EC5588" w:rsidRDefault="00EC5588" w:rsidP="00EC5588">
      <w:pPr>
        <w:jc w:val="center"/>
        <w:rPr>
          <w:b/>
          <w:bCs/>
          <w:i/>
          <w:iCs/>
        </w:rPr>
      </w:pPr>
      <w:r>
        <w:rPr>
          <w:b/>
          <w:bCs/>
          <w:i/>
          <w:iCs/>
        </w:rPr>
        <w:lastRenderedPageBreak/>
        <w:t>“Where disclosure is necessary or expedient for the purposes of the Act (reduction and prevention of crime and disorder)”</w:t>
      </w:r>
    </w:p>
    <w:p w14:paraId="7329A3DE" w14:textId="763FE81C" w:rsidR="00EC5588" w:rsidRDefault="00EC5588" w:rsidP="00EC5588">
      <w:r>
        <w:t xml:space="preserve">The </w:t>
      </w:r>
      <w:hyperlink r:id="rId17" w:history="1">
        <w:r w:rsidRPr="00BA580D">
          <w:rPr>
            <w:rStyle w:val="Hyperlink"/>
          </w:rPr>
          <w:t>Human Rights Act 1998</w:t>
        </w:r>
      </w:hyperlink>
      <w:r>
        <w:t xml:space="preserve"> – the principles set out in the Human Rights Act must also be taken into account within this framework in particular the following:</w:t>
      </w:r>
    </w:p>
    <w:p w14:paraId="2F49E5FB" w14:textId="108D93FF" w:rsidR="00EC5588" w:rsidRDefault="00EC5588" w:rsidP="00EC5588">
      <w:r>
        <w:rPr>
          <w:b/>
          <w:bCs/>
        </w:rPr>
        <w:t xml:space="preserve">Article 6 – </w:t>
      </w:r>
      <w:r>
        <w:t>The right to a fair trial</w:t>
      </w:r>
      <w:r w:rsidR="007E0AA5">
        <w:t>; this applies to both criminal and civil cases against them…… the person is presumed innocent until proven guilty according to the law, and has certain guaranteed rights to defend themselves</w:t>
      </w:r>
    </w:p>
    <w:p w14:paraId="2453B8B2" w14:textId="5593AF99" w:rsidR="00BA580D" w:rsidRDefault="00BA580D" w:rsidP="00EC5588">
      <w:r>
        <w:rPr>
          <w:b/>
          <w:bCs/>
        </w:rPr>
        <w:t xml:space="preserve">Article 7 – </w:t>
      </w:r>
      <w:r>
        <w:t>A person who clai</w:t>
      </w:r>
      <w:r w:rsidR="00604956">
        <w:t>ms  that a public authority has acted or proposes to act in a way which is unlawful by section 6(1) may</w:t>
      </w:r>
      <w:r w:rsidR="009D3E85">
        <w:t>:</w:t>
      </w:r>
    </w:p>
    <w:p w14:paraId="14EF8351" w14:textId="1331F2D8" w:rsidR="009D3E85" w:rsidRDefault="009D3E85" w:rsidP="009D3E85">
      <w:pPr>
        <w:pStyle w:val="ListParagraph"/>
        <w:numPr>
          <w:ilvl w:val="0"/>
          <w:numId w:val="23"/>
        </w:numPr>
      </w:pPr>
      <w:r>
        <w:t>Bring proceedings against the local authority under this act in the appropriate court or tribunal; or</w:t>
      </w:r>
    </w:p>
    <w:p w14:paraId="2A0E6F10" w14:textId="68B76014" w:rsidR="009D3E85" w:rsidRDefault="009D3E85" w:rsidP="009D3E85">
      <w:pPr>
        <w:pStyle w:val="ListParagraph"/>
        <w:numPr>
          <w:ilvl w:val="0"/>
          <w:numId w:val="23"/>
        </w:numPr>
      </w:pPr>
      <w:r>
        <w:t>Rely on the convention rights or rights concerned in any legal proceedings</w:t>
      </w:r>
    </w:p>
    <w:p w14:paraId="0D6C9757" w14:textId="77777777" w:rsidR="004968D7" w:rsidRDefault="009D3E85" w:rsidP="004968D7">
      <w:r>
        <w:rPr>
          <w:b/>
          <w:bCs/>
        </w:rPr>
        <w:t xml:space="preserve">Article 8 – </w:t>
      </w:r>
      <w:r>
        <w:t>The right to respect for private and family life</w:t>
      </w:r>
    </w:p>
    <w:p w14:paraId="30DD3189" w14:textId="71ACCE20" w:rsidR="006F2FE9" w:rsidRPr="00E52639" w:rsidRDefault="004968D7" w:rsidP="00E52639">
      <w:pPr>
        <w:pStyle w:val="Heading1"/>
      </w:pPr>
      <w:bookmarkStart w:id="7" w:name="_Toc189659844"/>
      <w:r w:rsidRPr="00E52639">
        <w:t xml:space="preserve">5. </w:t>
      </w:r>
      <w:r w:rsidR="006F2FE9" w:rsidRPr="00E52639">
        <w:t>PIPOT Process</w:t>
      </w:r>
      <w:bookmarkEnd w:id="7"/>
    </w:p>
    <w:p w14:paraId="2A386FB1" w14:textId="3D87803E" w:rsidR="00AC52C2" w:rsidRPr="00E52639" w:rsidRDefault="00F34B77" w:rsidP="00F34B77">
      <w:r w:rsidRPr="00E52639">
        <w:t xml:space="preserve">All </w:t>
      </w:r>
      <w:r w:rsidR="00AC52C2" w:rsidRPr="00E52639">
        <w:t xml:space="preserve">discussions and </w:t>
      </w:r>
      <w:r w:rsidRPr="00E52639">
        <w:t>decisions made in relation to a PIPOT referral must be clearly recorded</w:t>
      </w:r>
      <w:r w:rsidR="00AC52C2" w:rsidRPr="00E52639">
        <w:t xml:space="preserve"> within the P</w:t>
      </w:r>
      <w:r w:rsidR="003F3C1D" w:rsidRPr="00E52639">
        <w:t>IPOT</w:t>
      </w:r>
      <w:r w:rsidR="00AC52C2" w:rsidRPr="00E52639">
        <w:t xml:space="preserve"> referral form (see appendix 4) with a clear and detailed rationale which considers the wider risk of not disclosing</w:t>
      </w:r>
      <w:r w:rsidR="003F3C1D" w:rsidRPr="00E52639">
        <w:t xml:space="preserve"> or a clear decision why a disclosure is not appropriate. </w:t>
      </w:r>
      <w:r w:rsidR="00AC52C2" w:rsidRPr="00E52639">
        <w:t xml:space="preserve"> </w:t>
      </w:r>
    </w:p>
    <w:p w14:paraId="6F29B521" w14:textId="7F548614" w:rsidR="006F2FE9" w:rsidRPr="00E52639" w:rsidRDefault="007763A0" w:rsidP="00F34B77">
      <w:r w:rsidRPr="00E52639">
        <w:t xml:space="preserve">For decisions </w:t>
      </w:r>
      <w:r w:rsidR="00A00283" w:rsidRPr="00E52639">
        <w:t>in relation to</w:t>
      </w:r>
      <w:r w:rsidRPr="00E52639">
        <w:t xml:space="preserve"> complex </w:t>
      </w:r>
      <w:r w:rsidR="00AC52C2" w:rsidRPr="00E52639">
        <w:t>referrals</w:t>
      </w:r>
      <w:r w:rsidRPr="00E52639">
        <w:t xml:space="preserve"> or where consent to </w:t>
      </w:r>
      <w:r w:rsidR="003F3C1D" w:rsidRPr="00E52639">
        <w:t>disclose</w:t>
      </w:r>
      <w:r w:rsidR="00AC52C2" w:rsidRPr="00E52639">
        <w:t xml:space="preserve"> information</w:t>
      </w:r>
      <w:r w:rsidR="003F3C1D" w:rsidRPr="00E52639">
        <w:t xml:space="preserve"> is not obtained</w:t>
      </w:r>
      <w:r w:rsidRPr="00E52639">
        <w:t xml:space="preserve">, the Head of Service for Independent Living will </w:t>
      </w:r>
      <w:r w:rsidR="00A00283" w:rsidRPr="00E52639">
        <w:t>make the final</w:t>
      </w:r>
      <w:r w:rsidRPr="00E52639">
        <w:t xml:space="preserve"> decision </w:t>
      </w:r>
      <w:r w:rsidR="003F3C1D" w:rsidRPr="00E52639">
        <w:t xml:space="preserve">on </w:t>
      </w:r>
      <w:r w:rsidR="00AC52C2" w:rsidRPr="00E52639">
        <w:t>whether to make a disclosure</w:t>
      </w:r>
      <w:r w:rsidR="00772608" w:rsidRPr="00E52639">
        <w:t>.</w:t>
      </w:r>
      <w:r w:rsidR="00AC52C2" w:rsidRPr="00E52639">
        <w:t xml:space="preserve"> </w:t>
      </w:r>
      <w:r w:rsidR="00772608" w:rsidRPr="00E52639">
        <w:t>I</w:t>
      </w:r>
      <w:r w:rsidR="00AC52C2" w:rsidRPr="00E52639">
        <w:t>t may also be decided that a</w:t>
      </w:r>
      <w:r w:rsidRPr="00E52639">
        <w:t xml:space="preserve"> formal meeting is required to discuss the </w:t>
      </w:r>
      <w:r w:rsidR="003F3C1D" w:rsidRPr="00E52639">
        <w:t xml:space="preserve">complexities of the </w:t>
      </w:r>
      <w:r w:rsidRPr="00E52639">
        <w:t>case</w:t>
      </w:r>
      <w:r w:rsidR="00BC2583" w:rsidRPr="00E52639">
        <w:t xml:space="preserve"> further</w:t>
      </w:r>
      <w:r w:rsidR="00772608" w:rsidRPr="00E52639">
        <w:t>,</w:t>
      </w:r>
      <w:r w:rsidR="00A00283" w:rsidRPr="00E52639">
        <w:t xml:space="preserve"> </w:t>
      </w:r>
      <w:r w:rsidR="00AC52C2" w:rsidRPr="00E52639">
        <w:t xml:space="preserve">before coming to a final decision on whether a disclosure is </w:t>
      </w:r>
      <w:r w:rsidR="003F3C1D" w:rsidRPr="00E52639">
        <w:t>made</w:t>
      </w:r>
      <w:r w:rsidR="00AC52C2" w:rsidRPr="00E52639">
        <w:t xml:space="preserve">. </w:t>
      </w:r>
    </w:p>
    <w:p w14:paraId="092C0638" w14:textId="10486C2A" w:rsidR="00BC2583" w:rsidRPr="00E52639" w:rsidRDefault="00BC2583" w:rsidP="00F34B77">
      <w:r w:rsidRPr="00E52639">
        <w:t xml:space="preserve">Advice from Legal Services can be sought for </w:t>
      </w:r>
      <w:r w:rsidR="00A75FAE" w:rsidRPr="00E52639">
        <w:t xml:space="preserve">any PIPOT </w:t>
      </w:r>
      <w:r w:rsidR="00AC52C2" w:rsidRPr="00E52639">
        <w:t>referral</w:t>
      </w:r>
      <w:r w:rsidR="00A00283" w:rsidRPr="00E52639">
        <w:t>, however</w:t>
      </w:r>
      <w:r w:rsidR="00A75FAE" w:rsidRPr="00E52639">
        <w:t xml:space="preserve">, </w:t>
      </w:r>
      <w:r w:rsidR="00A00283" w:rsidRPr="00E52639">
        <w:t xml:space="preserve">legal advice </w:t>
      </w:r>
      <w:r w:rsidR="00A00283" w:rsidRPr="00E52639">
        <w:rPr>
          <w:b/>
          <w:bCs/>
        </w:rPr>
        <w:t xml:space="preserve">must </w:t>
      </w:r>
      <w:r w:rsidR="00A75FAE" w:rsidRPr="00E52639">
        <w:t xml:space="preserve">be sought in </w:t>
      </w:r>
      <w:r w:rsidR="00AC52C2" w:rsidRPr="00E52639">
        <w:t>cases where consent to disclose is not obtained</w:t>
      </w:r>
      <w:r w:rsidR="007B430B" w:rsidRPr="00E52639">
        <w:t>.</w:t>
      </w:r>
    </w:p>
    <w:p w14:paraId="53F26161" w14:textId="77777777" w:rsidR="00D72B46" w:rsidRDefault="00D72B46" w:rsidP="00122B7B">
      <w:pPr>
        <w:pStyle w:val="Heading1"/>
      </w:pPr>
      <w:bookmarkStart w:id="8" w:name="_Toc189659845"/>
    </w:p>
    <w:p w14:paraId="2F5DB101" w14:textId="77777777" w:rsidR="00D72B46" w:rsidRPr="00D72B46" w:rsidRDefault="00D72B46" w:rsidP="00D72B46"/>
    <w:p w14:paraId="41B38D81" w14:textId="77777777" w:rsidR="00D72B46" w:rsidRDefault="00D72B46" w:rsidP="00122B7B">
      <w:pPr>
        <w:pStyle w:val="Heading1"/>
      </w:pPr>
    </w:p>
    <w:p w14:paraId="020073E4" w14:textId="77777777" w:rsidR="00D72B46" w:rsidRDefault="00D72B46" w:rsidP="00122B7B">
      <w:pPr>
        <w:pStyle w:val="Heading1"/>
      </w:pPr>
    </w:p>
    <w:p w14:paraId="739DBC4E" w14:textId="77777777" w:rsidR="00D72B46" w:rsidRPr="00D72B46" w:rsidRDefault="00D72B46" w:rsidP="00D72B46"/>
    <w:p w14:paraId="3326ED12" w14:textId="4FD38E21" w:rsidR="00EA127A" w:rsidRDefault="00122B7B" w:rsidP="00122B7B">
      <w:pPr>
        <w:pStyle w:val="Heading1"/>
      </w:pPr>
      <w:r>
        <w:lastRenderedPageBreak/>
        <w:t>References</w:t>
      </w:r>
      <w:bookmarkEnd w:id="8"/>
    </w:p>
    <w:p w14:paraId="0E23F860" w14:textId="77777777" w:rsidR="00A31876" w:rsidRPr="00A31876" w:rsidRDefault="00A31876" w:rsidP="00A31876">
      <w:r w:rsidRPr="00A31876">
        <w:t>Information Commissioner’s Office – Data Controllers and Data Processors: What Difference is and What the Governance Implications are.  Data Protection Act</w:t>
      </w:r>
    </w:p>
    <w:p w14:paraId="14FC4668" w14:textId="77777777" w:rsidR="00A31876" w:rsidRPr="00A31876" w:rsidRDefault="00A31876" w:rsidP="00A31876">
      <w:r w:rsidRPr="00A31876">
        <w:t>Information Commissioner’s Officer – Guide to the Data Protection Act</w:t>
      </w:r>
    </w:p>
    <w:p w14:paraId="2D25BADB" w14:textId="77777777" w:rsidR="00A31876" w:rsidRPr="00A31876" w:rsidRDefault="00A31876" w:rsidP="00A31876">
      <w:pPr>
        <w:rPr>
          <w:highlight w:val="yellow"/>
        </w:rPr>
      </w:pPr>
      <w:r w:rsidRPr="00A31876">
        <w:t>West Midlands Adult Position of Trust Framework: A Framework and Process for responding to allegations and concerns against people working with adults with care and support needs (2017)</w:t>
      </w:r>
    </w:p>
    <w:p w14:paraId="1B7E2A71" w14:textId="77777777" w:rsidR="00A31876" w:rsidRPr="004333C6" w:rsidRDefault="00A31876" w:rsidP="00A31876">
      <w:hyperlink r:id="rId18" w:history="1">
        <w:r w:rsidRPr="00343152">
          <w:rPr>
            <w:rStyle w:val="Hyperlink"/>
          </w:rPr>
          <w:t>https://ico.org.uk/for-organisations/guide-to-the-general-data-protection-regulation-gdpr/principles/</w:t>
        </w:r>
      </w:hyperlink>
    </w:p>
    <w:p w14:paraId="0962CA91" w14:textId="77777777" w:rsidR="00122B7B" w:rsidRPr="00122B7B" w:rsidRDefault="00122B7B" w:rsidP="00122B7B"/>
    <w:p w14:paraId="5D64866A" w14:textId="77777777" w:rsidR="00C40FEA" w:rsidRDefault="00C40FEA" w:rsidP="006768E1">
      <w:pPr>
        <w:sectPr w:rsidR="00C40FEA" w:rsidSect="00BF07BC">
          <w:footerReference w:type="default" r:id="rId19"/>
          <w:footerReference w:type="first" r:id="rId20"/>
          <w:pgSz w:w="11906" w:h="16838"/>
          <w:pgMar w:top="1440" w:right="1440" w:bottom="1440" w:left="1440" w:header="708" w:footer="708" w:gutter="0"/>
          <w:pgNumType w:start="0"/>
          <w:cols w:space="708"/>
          <w:titlePg/>
          <w:docGrid w:linePitch="360"/>
        </w:sectPr>
      </w:pPr>
    </w:p>
    <w:p w14:paraId="29967A6D" w14:textId="4F33E5C2" w:rsidR="009740BB" w:rsidRDefault="00C40FEA" w:rsidP="00C40FEA">
      <w:pPr>
        <w:pStyle w:val="Heading1"/>
      </w:pPr>
      <w:bookmarkStart w:id="9" w:name="_Toc189659846"/>
      <w:r>
        <w:lastRenderedPageBreak/>
        <w:t>Appe</w:t>
      </w:r>
      <w:r w:rsidR="006D3FBC">
        <w:t>ndices</w:t>
      </w:r>
      <w:bookmarkEnd w:id="9"/>
    </w:p>
    <w:tbl>
      <w:tblPr>
        <w:tblStyle w:val="MediumGrid1-Accent1"/>
        <w:tblW w:w="0" w:type="auto"/>
        <w:tblLook w:val="04A0" w:firstRow="1" w:lastRow="0" w:firstColumn="1" w:lastColumn="0" w:noHBand="0" w:noVBand="1"/>
      </w:tblPr>
      <w:tblGrid>
        <w:gridCol w:w="2249"/>
        <w:gridCol w:w="9913"/>
        <w:gridCol w:w="1776"/>
      </w:tblGrid>
      <w:tr w:rsidR="00E569A0" w:rsidRPr="00E12AA4" w14:paraId="3C8F6D96" w14:textId="77777777" w:rsidTr="00B0328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56" w:type="dxa"/>
          </w:tcPr>
          <w:p w14:paraId="4F3CCC58" w14:textId="3A49BCAB" w:rsidR="00E569A0" w:rsidRPr="00E569A0" w:rsidRDefault="00E569A0" w:rsidP="00B03280">
            <w:pPr>
              <w:spacing w:before="120"/>
              <w:rPr>
                <w:bCs w:val="0"/>
              </w:rPr>
            </w:pPr>
            <w:r w:rsidRPr="00E569A0">
              <w:rPr>
                <w:bCs w:val="0"/>
              </w:rPr>
              <w:t xml:space="preserve">Appendix no. </w:t>
            </w:r>
          </w:p>
        </w:tc>
        <w:tc>
          <w:tcPr>
            <w:tcW w:w="9976" w:type="dxa"/>
          </w:tcPr>
          <w:p w14:paraId="6A783B9C" w14:textId="77777777" w:rsidR="00E569A0" w:rsidRPr="00E569A0" w:rsidRDefault="00E569A0" w:rsidP="00B03280">
            <w:pPr>
              <w:spacing w:before="120"/>
              <w:cnfStyle w:val="100000000000" w:firstRow="1" w:lastRow="0" w:firstColumn="0" w:lastColumn="0" w:oddVBand="0" w:evenVBand="0" w:oddHBand="0" w:evenHBand="0" w:firstRowFirstColumn="0" w:firstRowLastColumn="0" w:lastRowFirstColumn="0" w:lastRowLastColumn="0"/>
              <w:rPr>
                <w:bCs w:val="0"/>
              </w:rPr>
            </w:pPr>
            <w:r w:rsidRPr="00E569A0">
              <w:rPr>
                <w:bCs w:val="0"/>
              </w:rPr>
              <w:t>Name</w:t>
            </w:r>
          </w:p>
        </w:tc>
        <w:tc>
          <w:tcPr>
            <w:tcW w:w="1706" w:type="dxa"/>
          </w:tcPr>
          <w:p w14:paraId="2193C23D" w14:textId="2C830B00" w:rsidR="00E569A0" w:rsidRPr="00E569A0" w:rsidRDefault="00D05345" w:rsidP="00B03280">
            <w:pPr>
              <w:spacing w:before="120"/>
              <w:cnfStyle w:val="100000000000" w:firstRow="1" w:lastRow="0" w:firstColumn="0" w:lastColumn="0" w:oddVBand="0" w:evenVBand="0" w:oddHBand="0" w:evenHBand="0" w:firstRowFirstColumn="0" w:firstRowLastColumn="0" w:lastRowFirstColumn="0" w:lastRowLastColumn="0"/>
              <w:rPr>
                <w:bCs w:val="0"/>
              </w:rPr>
            </w:pPr>
            <w:r>
              <w:rPr>
                <w:bCs w:val="0"/>
              </w:rPr>
              <w:t>Document</w:t>
            </w:r>
          </w:p>
        </w:tc>
      </w:tr>
      <w:tr w:rsidR="00E569A0" w14:paraId="1957D4AB" w14:textId="77777777" w:rsidTr="00B032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6" w:type="dxa"/>
          </w:tcPr>
          <w:p w14:paraId="656BDBA5" w14:textId="77777777" w:rsidR="00E569A0" w:rsidRDefault="00E569A0" w:rsidP="00B03280">
            <w:pPr>
              <w:spacing w:before="120"/>
              <w:jc w:val="center"/>
            </w:pPr>
            <w:r>
              <w:t>1</w:t>
            </w:r>
          </w:p>
          <w:p w14:paraId="75D64612" w14:textId="7244A8A8" w:rsidR="00E569A0" w:rsidRDefault="00E569A0" w:rsidP="00B03280">
            <w:pPr>
              <w:spacing w:before="120"/>
              <w:jc w:val="center"/>
            </w:pPr>
          </w:p>
        </w:tc>
        <w:tc>
          <w:tcPr>
            <w:tcW w:w="9976" w:type="dxa"/>
          </w:tcPr>
          <w:p w14:paraId="3168567C" w14:textId="2D484CBA" w:rsidR="00E569A0" w:rsidRPr="00E569A0" w:rsidRDefault="00E569A0" w:rsidP="00B03280">
            <w:pPr>
              <w:spacing w:before="120"/>
              <w:cnfStyle w:val="000000100000" w:firstRow="0" w:lastRow="0" w:firstColumn="0" w:lastColumn="0" w:oddVBand="0" w:evenVBand="0" w:oddHBand="1" w:evenHBand="0" w:firstRowFirstColumn="0" w:firstRowLastColumn="0" w:lastRowFirstColumn="0" w:lastRowLastColumn="0"/>
              <w:rPr>
                <w:b/>
                <w:bCs/>
              </w:rPr>
            </w:pPr>
            <w:r w:rsidRPr="00E569A0">
              <w:rPr>
                <w:b/>
                <w:bCs/>
              </w:rPr>
              <w:t>Data Protection Act 2018 and GDPR Overview</w:t>
            </w:r>
          </w:p>
        </w:tc>
        <w:bookmarkStart w:id="10" w:name="_MON_1787492106"/>
        <w:bookmarkEnd w:id="10"/>
        <w:tc>
          <w:tcPr>
            <w:tcW w:w="1706" w:type="dxa"/>
          </w:tcPr>
          <w:p w14:paraId="0ACA98E2" w14:textId="22C33D4F" w:rsidR="00E569A0" w:rsidRDefault="00D05345" w:rsidP="00B03280">
            <w:pPr>
              <w:spacing w:before="120"/>
              <w:cnfStyle w:val="000000100000" w:firstRow="0" w:lastRow="0" w:firstColumn="0" w:lastColumn="0" w:oddVBand="0" w:evenVBand="0" w:oddHBand="1" w:evenHBand="0" w:firstRowFirstColumn="0" w:firstRowLastColumn="0" w:lastRowFirstColumn="0" w:lastRowLastColumn="0"/>
            </w:pPr>
            <w:r>
              <w:object w:dxaOrig="1520" w:dyaOrig="987" w14:anchorId="21931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21" o:title=""/>
                </v:shape>
                <o:OLEObject Type="Embed" ProgID="Word.Document.12" ShapeID="_x0000_i1025" DrawAspect="Icon" ObjectID="_1807597483" r:id="rId22">
                  <o:FieldCodes>\s</o:FieldCodes>
                </o:OLEObject>
              </w:object>
            </w:r>
          </w:p>
        </w:tc>
      </w:tr>
      <w:tr w:rsidR="00E569A0" w14:paraId="3D60F12D" w14:textId="77777777" w:rsidTr="00B03280">
        <w:trPr>
          <w:cantSplit/>
        </w:trPr>
        <w:tc>
          <w:tcPr>
            <w:cnfStyle w:val="001000000000" w:firstRow="0" w:lastRow="0" w:firstColumn="1" w:lastColumn="0" w:oddVBand="0" w:evenVBand="0" w:oddHBand="0" w:evenHBand="0" w:firstRowFirstColumn="0" w:firstRowLastColumn="0" w:lastRowFirstColumn="0" w:lastRowLastColumn="0"/>
            <w:tcW w:w="2256" w:type="dxa"/>
          </w:tcPr>
          <w:p w14:paraId="5986714C" w14:textId="77777777" w:rsidR="00E569A0" w:rsidRDefault="00E569A0" w:rsidP="00B03280">
            <w:pPr>
              <w:spacing w:before="120"/>
              <w:jc w:val="center"/>
              <w:rPr>
                <w:b w:val="0"/>
              </w:rPr>
            </w:pPr>
            <w:r>
              <w:rPr>
                <w:bCs w:val="0"/>
              </w:rPr>
              <w:t>2</w:t>
            </w:r>
          </w:p>
          <w:p w14:paraId="70E088A7" w14:textId="10D9AD95" w:rsidR="002451E8" w:rsidRDefault="002451E8" w:rsidP="00B03280">
            <w:pPr>
              <w:spacing w:before="120"/>
              <w:jc w:val="center"/>
              <w:rPr>
                <w:bCs w:val="0"/>
              </w:rPr>
            </w:pPr>
          </w:p>
          <w:p w14:paraId="15B54DE6" w14:textId="3649E8AF" w:rsidR="00E569A0" w:rsidRDefault="00E569A0" w:rsidP="00B03280">
            <w:pPr>
              <w:spacing w:before="120"/>
              <w:jc w:val="center"/>
            </w:pPr>
          </w:p>
        </w:tc>
        <w:tc>
          <w:tcPr>
            <w:tcW w:w="9976" w:type="dxa"/>
          </w:tcPr>
          <w:p w14:paraId="677A2980" w14:textId="49907CB3" w:rsidR="00E569A0" w:rsidRPr="00A85EB0" w:rsidRDefault="00E569A0" w:rsidP="00B03280">
            <w:pPr>
              <w:pStyle w:val="bodycopy"/>
              <w:spacing w:before="120" w:after="120"/>
              <w:cnfStyle w:val="000000000000" w:firstRow="0" w:lastRow="0" w:firstColumn="0" w:lastColumn="0" w:oddVBand="0" w:evenVBand="0" w:oddHBand="0" w:evenHBand="0" w:firstRowFirstColumn="0" w:firstRowLastColumn="0" w:lastRowFirstColumn="0" w:lastRowLastColumn="0"/>
              <w:rPr>
                <w:b/>
                <w:bCs/>
              </w:rPr>
            </w:pPr>
            <w:r>
              <w:rPr>
                <w:b/>
                <w:bCs/>
              </w:rPr>
              <w:t>Managing Concerns and Allegations against People who work with Adults with Care and Support Needs Flowchart</w:t>
            </w:r>
          </w:p>
        </w:tc>
        <w:bookmarkStart w:id="11" w:name="_MON_1800353126"/>
        <w:bookmarkEnd w:id="11"/>
        <w:tc>
          <w:tcPr>
            <w:tcW w:w="1706" w:type="dxa"/>
          </w:tcPr>
          <w:p w14:paraId="5496EF23" w14:textId="18C20208" w:rsidR="00E569A0" w:rsidRDefault="00D05345" w:rsidP="00B03280">
            <w:pPr>
              <w:spacing w:before="120"/>
              <w:cnfStyle w:val="000000000000" w:firstRow="0" w:lastRow="0" w:firstColumn="0" w:lastColumn="0" w:oddVBand="0" w:evenVBand="0" w:oddHBand="0" w:evenHBand="0" w:firstRowFirstColumn="0" w:firstRowLastColumn="0" w:lastRowFirstColumn="0" w:lastRowLastColumn="0"/>
            </w:pPr>
            <w:r>
              <w:rPr>
                <w:bCs/>
              </w:rPr>
              <w:object w:dxaOrig="1520" w:dyaOrig="987" w14:anchorId="4ED33C6D">
                <v:shape id="_x0000_i1026" type="#_x0000_t75" style="width:78pt;height:48pt" o:ole="">
                  <v:imagedata r:id="rId23" o:title=""/>
                </v:shape>
                <o:OLEObject Type="Embed" ProgID="Word.Document.12" ShapeID="_x0000_i1026" DrawAspect="Icon" ObjectID="_1807597484" r:id="rId24">
                  <o:FieldCodes>\s</o:FieldCodes>
                </o:OLEObject>
              </w:object>
            </w:r>
          </w:p>
        </w:tc>
      </w:tr>
      <w:tr w:rsidR="00E569A0" w14:paraId="0187B4B3" w14:textId="77777777" w:rsidTr="00B032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56" w:type="dxa"/>
          </w:tcPr>
          <w:p w14:paraId="4B110E8F" w14:textId="77777777" w:rsidR="00E569A0" w:rsidRDefault="00E569A0" w:rsidP="00B03280">
            <w:pPr>
              <w:spacing w:before="120"/>
              <w:jc w:val="center"/>
            </w:pPr>
            <w:r>
              <w:t>3</w:t>
            </w:r>
          </w:p>
          <w:p w14:paraId="68685B2A" w14:textId="48FD0E11" w:rsidR="00E569A0" w:rsidRDefault="00E569A0" w:rsidP="00B03280">
            <w:pPr>
              <w:spacing w:before="120"/>
              <w:jc w:val="center"/>
            </w:pPr>
          </w:p>
          <w:p w14:paraId="067E4496" w14:textId="77777777" w:rsidR="00E569A0" w:rsidRDefault="00E569A0" w:rsidP="00B03280">
            <w:pPr>
              <w:spacing w:before="120"/>
              <w:jc w:val="center"/>
            </w:pPr>
          </w:p>
        </w:tc>
        <w:tc>
          <w:tcPr>
            <w:tcW w:w="9976" w:type="dxa"/>
          </w:tcPr>
          <w:p w14:paraId="3519D84E" w14:textId="6201EB5A" w:rsidR="00E569A0" w:rsidRPr="00A85EB0" w:rsidRDefault="00981646" w:rsidP="00B03280">
            <w:pPr>
              <w:pStyle w:val="bodycopy"/>
              <w:spacing w:before="120" w:after="120"/>
              <w:cnfStyle w:val="000000100000" w:firstRow="0" w:lastRow="0" w:firstColumn="0" w:lastColumn="0" w:oddVBand="0" w:evenVBand="0" w:oddHBand="1" w:evenHBand="0" w:firstRowFirstColumn="0" w:firstRowLastColumn="0" w:lastRowFirstColumn="0" w:lastRowLastColumn="0"/>
              <w:rPr>
                <w:b/>
                <w:bCs/>
              </w:rPr>
            </w:pPr>
            <w:r>
              <w:rPr>
                <w:b/>
                <w:bCs/>
              </w:rPr>
              <w:t>PIPOT Referral Form – Public Disclosures</w:t>
            </w:r>
          </w:p>
        </w:tc>
        <w:bookmarkStart w:id="12" w:name="_MON_1787492185"/>
        <w:bookmarkEnd w:id="12"/>
        <w:tc>
          <w:tcPr>
            <w:tcW w:w="1706" w:type="dxa"/>
          </w:tcPr>
          <w:p w14:paraId="3B8BE973" w14:textId="4F255C39" w:rsidR="00E569A0" w:rsidRDefault="00D05345" w:rsidP="00B03280">
            <w:pPr>
              <w:spacing w:before="120"/>
              <w:cnfStyle w:val="000000100000" w:firstRow="0" w:lastRow="0" w:firstColumn="0" w:lastColumn="0" w:oddVBand="0" w:evenVBand="0" w:oddHBand="1" w:evenHBand="0" w:firstRowFirstColumn="0" w:firstRowLastColumn="0" w:lastRowFirstColumn="0" w:lastRowLastColumn="0"/>
            </w:pPr>
            <w:r>
              <w:object w:dxaOrig="1520" w:dyaOrig="987" w14:anchorId="2F118B9A">
                <v:shape id="_x0000_i1027" type="#_x0000_t75" style="width:78pt;height:48pt" o:ole="">
                  <v:imagedata r:id="rId25" o:title=""/>
                </v:shape>
                <o:OLEObject Type="Embed" ProgID="Word.Document.12" ShapeID="_x0000_i1027" DrawAspect="Icon" ObjectID="_1807597485" r:id="rId26">
                  <o:FieldCodes>\s</o:FieldCodes>
                </o:OLEObject>
              </w:object>
            </w:r>
          </w:p>
        </w:tc>
      </w:tr>
      <w:tr w:rsidR="001410DE" w14:paraId="5C47C317" w14:textId="77777777" w:rsidTr="00B03280">
        <w:trPr>
          <w:cantSplit/>
        </w:trPr>
        <w:tc>
          <w:tcPr>
            <w:cnfStyle w:val="001000000000" w:firstRow="0" w:lastRow="0" w:firstColumn="1" w:lastColumn="0" w:oddVBand="0" w:evenVBand="0" w:oddHBand="0" w:evenHBand="0" w:firstRowFirstColumn="0" w:firstRowLastColumn="0" w:lastRowFirstColumn="0" w:lastRowLastColumn="0"/>
            <w:tcW w:w="2256" w:type="dxa"/>
          </w:tcPr>
          <w:p w14:paraId="14CC0BD9" w14:textId="604C5738" w:rsidR="001410DE" w:rsidRDefault="001410DE" w:rsidP="00B03280">
            <w:pPr>
              <w:spacing w:before="120"/>
              <w:jc w:val="center"/>
              <w:rPr>
                <w:b w:val="0"/>
                <w:bCs w:val="0"/>
              </w:rPr>
            </w:pPr>
            <w:r>
              <w:t>4</w:t>
            </w:r>
          </w:p>
          <w:p w14:paraId="08A474C3" w14:textId="5EAD8A53" w:rsidR="00981646" w:rsidRDefault="00981646" w:rsidP="00B03280">
            <w:pPr>
              <w:spacing w:before="120"/>
              <w:jc w:val="center"/>
            </w:pPr>
          </w:p>
        </w:tc>
        <w:tc>
          <w:tcPr>
            <w:tcW w:w="9976" w:type="dxa"/>
          </w:tcPr>
          <w:p w14:paraId="282009B9" w14:textId="442D0CF9" w:rsidR="001410DE" w:rsidRDefault="00981646" w:rsidP="00B03280">
            <w:pPr>
              <w:pStyle w:val="bodycopy"/>
              <w:spacing w:before="120" w:after="120"/>
              <w:cnfStyle w:val="000000000000" w:firstRow="0" w:lastRow="0" w:firstColumn="0" w:lastColumn="0" w:oddVBand="0" w:evenVBand="0" w:oddHBand="0" w:evenHBand="0" w:firstRowFirstColumn="0" w:firstRowLastColumn="0" w:lastRowFirstColumn="0" w:lastRowLastColumn="0"/>
              <w:rPr>
                <w:b/>
                <w:bCs/>
              </w:rPr>
            </w:pPr>
            <w:r>
              <w:rPr>
                <w:b/>
                <w:bCs/>
              </w:rPr>
              <w:t>PIPOT Referral Form</w:t>
            </w:r>
          </w:p>
        </w:tc>
        <w:bookmarkStart w:id="13" w:name="_MON_1787492192"/>
        <w:bookmarkEnd w:id="13"/>
        <w:tc>
          <w:tcPr>
            <w:tcW w:w="1706" w:type="dxa"/>
          </w:tcPr>
          <w:p w14:paraId="7021D07A" w14:textId="1F9AFE1A" w:rsidR="001410DE" w:rsidRDefault="00D05345" w:rsidP="00B03280">
            <w:pPr>
              <w:spacing w:before="120"/>
              <w:cnfStyle w:val="000000000000" w:firstRow="0" w:lastRow="0" w:firstColumn="0" w:lastColumn="0" w:oddVBand="0" w:evenVBand="0" w:oddHBand="0" w:evenHBand="0" w:firstRowFirstColumn="0" w:firstRowLastColumn="0" w:lastRowFirstColumn="0" w:lastRowLastColumn="0"/>
            </w:pPr>
            <w:r>
              <w:object w:dxaOrig="1520" w:dyaOrig="987" w14:anchorId="42A06DA4">
                <v:shape id="_x0000_i1028" type="#_x0000_t75" style="width:78pt;height:48pt" o:ole="">
                  <v:imagedata r:id="rId27" o:title=""/>
                </v:shape>
                <o:OLEObject Type="Embed" ProgID="Word.Document.12" ShapeID="_x0000_i1028" DrawAspect="Icon" ObjectID="_1807597486" r:id="rId28">
                  <o:FieldCodes>\s</o:FieldCodes>
                </o:OLEObject>
              </w:object>
            </w:r>
          </w:p>
        </w:tc>
      </w:tr>
    </w:tbl>
    <w:p w14:paraId="779245A7" w14:textId="77777777" w:rsidR="00652743" w:rsidRDefault="00652743" w:rsidP="00633223">
      <w:pPr>
        <w:pStyle w:val="Heading1"/>
      </w:pPr>
    </w:p>
    <w:sectPr w:rsidR="00652743" w:rsidSect="00E9669E">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C8E1C" w14:textId="77777777" w:rsidR="001B41CB" w:rsidRDefault="001B41CB" w:rsidP="00E43549">
      <w:pPr>
        <w:spacing w:after="0" w:line="240" w:lineRule="auto"/>
      </w:pPr>
      <w:r>
        <w:separator/>
      </w:r>
    </w:p>
  </w:endnote>
  <w:endnote w:type="continuationSeparator" w:id="0">
    <w:p w14:paraId="36FB4B40" w14:textId="77777777" w:rsidR="001B41CB" w:rsidRDefault="001B41CB" w:rsidP="00E43549">
      <w:pPr>
        <w:spacing w:after="0" w:line="240" w:lineRule="auto"/>
      </w:pPr>
      <w:r>
        <w:continuationSeparator/>
      </w:r>
    </w:p>
  </w:endnote>
  <w:endnote w:type="continuationNotice" w:id="1">
    <w:p w14:paraId="6F0D3417" w14:textId="77777777" w:rsidR="001B41CB" w:rsidRDefault="001B4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225851"/>
      <w:docPartObj>
        <w:docPartGallery w:val="Page Numbers (Bottom of Page)"/>
        <w:docPartUnique/>
      </w:docPartObj>
    </w:sdtPr>
    <w:sdtEndPr>
      <w:rPr>
        <w:color w:val="808080" w:themeColor="background1" w:themeShade="80"/>
        <w:spacing w:val="60"/>
      </w:rPr>
    </w:sdtEndPr>
    <w:sdtContent>
      <w:p w14:paraId="6F4FF2EB" w14:textId="77777777" w:rsidR="00E43549" w:rsidRDefault="00E435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0928">
          <w:rPr>
            <w:noProof/>
          </w:rPr>
          <w:t>3</w:t>
        </w:r>
        <w:r>
          <w:rPr>
            <w:noProof/>
          </w:rPr>
          <w:fldChar w:fldCharType="end"/>
        </w:r>
        <w:r>
          <w:t xml:space="preserve"> | </w:t>
        </w:r>
        <w:r>
          <w:rPr>
            <w:color w:val="808080" w:themeColor="background1" w:themeShade="80"/>
            <w:spacing w:val="60"/>
          </w:rPr>
          <w:t>Page</w:t>
        </w:r>
      </w:p>
    </w:sdtContent>
  </w:sdt>
  <w:p w14:paraId="6F4FF2EC" w14:textId="349FF854" w:rsidR="00BF07BC" w:rsidRDefault="00BF07BC" w:rsidP="00F85798">
    <w:pPr>
      <w:pStyle w:val="Footer"/>
      <w:rPr>
        <w:i/>
        <w:sz w:val="20"/>
      </w:rPr>
    </w:pPr>
    <w:r w:rsidRPr="00BF07BC">
      <w:rPr>
        <w:b/>
        <w:i/>
        <w:sz w:val="20"/>
      </w:rPr>
      <w:t>WARNING</w:t>
    </w:r>
    <w:r>
      <w:rPr>
        <w:b/>
        <w:i/>
        <w:sz w:val="20"/>
      </w:rPr>
      <w:t xml:space="preserve"> – uncontrolled once printed! </w:t>
    </w:r>
    <w:r w:rsidRPr="00BF07BC">
      <w:rPr>
        <w:i/>
        <w:sz w:val="20"/>
      </w:rPr>
      <w:t>Check</w:t>
    </w:r>
    <w:r w:rsidR="00F85798">
      <w:rPr>
        <w:i/>
        <w:sz w:val="20"/>
      </w:rPr>
      <w:t xml:space="preserve"> the </w:t>
    </w:r>
    <w:hyperlink r:id="rId1" w:history="1">
      <w:r w:rsidR="004E72E7" w:rsidRPr="004E72E7">
        <w:rPr>
          <w:rStyle w:val="Hyperlink"/>
          <w:i/>
          <w:sz w:val="20"/>
        </w:rPr>
        <w:t xml:space="preserve">ASC </w:t>
      </w:r>
      <w:r w:rsidR="00F85798" w:rsidRPr="004E72E7">
        <w:rPr>
          <w:rStyle w:val="Hyperlink"/>
          <w:i/>
          <w:sz w:val="20"/>
        </w:rPr>
        <w:t xml:space="preserve">Policy </w:t>
      </w:r>
      <w:r w:rsidR="004E72E7" w:rsidRPr="004E72E7">
        <w:rPr>
          <w:rStyle w:val="Hyperlink"/>
          <w:i/>
          <w:sz w:val="20"/>
        </w:rPr>
        <w:t>Library</w:t>
      </w:r>
    </w:hyperlink>
    <w:r w:rsidR="00F85798">
      <w:rPr>
        <w:i/>
        <w:sz w:val="20"/>
      </w:rPr>
      <w:t xml:space="preserve"> for the latest version.</w:t>
    </w:r>
    <w:r>
      <w:rPr>
        <w:i/>
        <w:sz w:val="20"/>
      </w:rPr>
      <w:tab/>
      <w:t xml:space="preserve"> </w:t>
    </w:r>
  </w:p>
  <w:p w14:paraId="6F4FF2ED" w14:textId="00FBD4B1" w:rsidR="00E43549" w:rsidRDefault="00BF07BC" w:rsidP="00F85798">
    <w:pPr>
      <w:pStyle w:val="Footer"/>
    </w:pPr>
    <w:r>
      <w:rPr>
        <w:i/>
        <w:sz w:val="20"/>
      </w:rPr>
      <w:t xml:space="preserve">Publication date: </w:t>
    </w:r>
    <w:r w:rsidR="00417DD4">
      <w:rPr>
        <w:b/>
        <w:i/>
        <w:sz w:val="20"/>
      </w:rPr>
      <w:t>04</w:t>
    </w:r>
    <w:r w:rsidRPr="00BF07BC">
      <w:rPr>
        <w:b/>
        <w:i/>
        <w:sz w:val="20"/>
      </w:rPr>
      <w:t>/</w:t>
    </w:r>
    <w:r w:rsidR="00417DD4">
      <w:rPr>
        <w:b/>
        <w:i/>
        <w:sz w:val="20"/>
      </w:rPr>
      <w:t>2025</w:t>
    </w:r>
    <w:r>
      <w:rPr>
        <w:i/>
        <w:sz w:val="20"/>
      </w:rPr>
      <w:tab/>
      <w:t xml:space="preserve">Review due date: </w:t>
    </w:r>
    <w:r w:rsidR="00417DD4">
      <w:rPr>
        <w:b/>
        <w:i/>
        <w:sz w:val="20"/>
      </w:rPr>
      <w:t>04</w:t>
    </w:r>
    <w:r w:rsidRPr="00BF07BC">
      <w:rPr>
        <w:b/>
        <w:i/>
        <w:sz w:val="20"/>
      </w:rPr>
      <w:t>/</w:t>
    </w:r>
    <w:r w:rsidR="00417DD4">
      <w:rPr>
        <w:b/>
        <w:i/>
        <w:sz w:val="20"/>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5465117"/>
      <w:docPartObj>
        <w:docPartGallery w:val="Page Numbers (Bottom of Page)"/>
        <w:docPartUnique/>
      </w:docPartObj>
    </w:sdtPr>
    <w:sdtEndPr>
      <w:rPr>
        <w:color w:val="7F7F7F" w:themeColor="background1" w:themeShade="7F"/>
        <w:spacing w:val="60"/>
      </w:rPr>
    </w:sdtEndPr>
    <w:sdtContent>
      <w:p w14:paraId="28AC7F60" w14:textId="0E666E07" w:rsidR="00E9669E" w:rsidRDefault="00E9669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377E66" w14:textId="77777777" w:rsidR="004E72E7" w:rsidRDefault="004E7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27D63" w14:textId="77777777" w:rsidR="001B41CB" w:rsidRDefault="001B41CB" w:rsidP="00E43549">
      <w:pPr>
        <w:spacing w:after="0" w:line="240" w:lineRule="auto"/>
      </w:pPr>
      <w:r>
        <w:separator/>
      </w:r>
    </w:p>
  </w:footnote>
  <w:footnote w:type="continuationSeparator" w:id="0">
    <w:p w14:paraId="4C5E52B9" w14:textId="77777777" w:rsidR="001B41CB" w:rsidRDefault="001B41CB" w:rsidP="00E43549">
      <w:pPr>
        <w:spacing w:after="0" w:line="240" w:lineRule="auto"/>
      </w:pPr>
      <w:r>
        <w:continuationSeparator/>
      </w:r>
    </w:p>
  </w:footnote>
  <w:footnote w:type="continuationNotice" w:id="1">
    <w:p w14:paraId="47F0E79B" w14:textId="77777777" w:rsidR="001B41CB" w:rsidRDefault="001B41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529B"/>
    <w:multiLevelType w:val="hybridMultilevel"/>
    <w:tmpl w:val="B402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07F6E"/>
    <w:multiLevelType w:val="hybridMultilevel"/>
    <w:tmpl w:val="CBCC0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35F7D"/>
    <w:multiLevelType w:val="hybridMultilevel"/>
    <w:tmpl w:val="34C4A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28457B"/>
    <w:multiLevelType w:val="hybridMultilevel"/>
    <w:tmpl w:val="4AEEF43C"/>
    <w:lvl w:ilvl="0" w:tplc="3954A4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37E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BD7608"/>
    <w:multiLevelType w:val="multilevel"/>
    <w:tmpl w:val="5AB2BDE8"/>
    <w:lvl w:ilvl="0">
      <w:start w:val="1"/>
      <w:numFmt w:val="decimal"/>
      <w:lvlText w:val="%1."/>
      <w:lvlJc w:val="left"/>
      <w:pPr>
        <w:ind w:left="360" w:hanging="360"/>
      </w:pPr>
      <w:rPr>
        <w:rFonts w:hint="default"/>
      </w:rPr>
    </w:lvl>
    <w:lvl w:ilvl="1">
      <w:start w:val="2"/>
      <w:numFmt w:val="decimal"/>
      <w:isLgl/>
      <w:lvlText w:val="%1.%2"/>
      <w:lvlJc w:val="left"/>
      <w:pPr>
        <w:ind w:left="4512" w:hanging="4512"/>
      </w:pPr>
      <w:rPr>
        <w:rFonts w:hint="default"/>
      </w:rPr>
    </w:lvl>
    <w:lvl w:ilvl="2">
      <w:start w:val="1"/>
      <w:numFmt w:val="decimal"/>
      <w:isLgl/>
      <w:lvlText w:val="%1.%2.%3"/>
      <w:lvlJc w:val="left"/>
      <w:pPr>
        <w:ind w:left="4512" w:hanging="4512"/>
      </w:pPr>
      <w:rPr>
        <w:rFonts w:hint="default"/>
      </w:rPr>
    </w:lvl>
    <w:lvl w:ilvl="3">
      <w:start w:val="1"/>
      <w:numFmt w:val="decimal"/>
      <w:isLgl/>
      <w:lvlText w:val="%1.%2.%3.%4"/>
      <w:lvlJc w:val="left"/>
      <w:pPr>
        <w:ind w:left="4512" w:hanging="4512"/>
      </w:pPr>
      <w:rPr>
        <w:rFonts w:hint="default"/>
      </w:rPr>
    </w:lvl>
    <w:lvl w:ilvl="4">
      <w:start w:val="1"/>
      <w:numFmt w:val="decimal"/>
      <w:isLgl/>
      <w:lvlText w:val="%1.%2.%3.%4.%5"/>
      <w:lvlJc w:val="left"/>
      <w:pPr>
        <w:ind w:left="4512" w:hanging="4512"/>
      </w:pPr>
      <w:rPr>
        <w:rFonts w:hint="default"/>
      </w:rPr>
    </w:lvl>
    <w:lvl w:ilvl="5">
      <w:start w:val="1"/>
      <w:numFmt w:val="decimal"/>
      <w:isLgl/>
      <w:lvlText w:val="%1.%2.%3.%4.%5.%6"/>
      <w:lvlJc w:val="left"/>
      <w:pPr>
        <w:ind w:left="4512" w:hanging="4512"/>
      </w:pPr>
      <w:rPr>
        <w:rFonts w:hint="default"/>
      </w:rPr>
    </w:lvl>
    <w:lvl w:ilvl="6">
      <w:start w:val="1"/>
      <w:numFmt w:val="decimal"/>
      <w:isLgl/>
      <w:lvlText w:val="%1.%2.%3.%4.%5.%6.%7"/>
      <w:lvlJc w:val="left"/>
      <w:pPr>
        <w:ind w:left="4512" w:hanging="4512"/>
      </w:pPr>
      <w:rPr>
        <w:rFonts w:hint="default"/>
      </w:rPr>
    </w:lvl>
    <w:lvl w:ilvl="7">
      <w:start w:val="1"/>
      <w:numFmt w:val="decimal"/>
      <w:isLgl/>
      <w:lvlText w:val="%1.%2.%3.%4.%5.%6.%7.%8"/>
      <w:lvlJc w:val="left"/>
      <w:pPr>
        <w:ind w:left="4512" w:hanging="4512"/>
      </w:pPr>
      <w:rPr>
        <w:rFonts w:hint="default"/>
      </w:rPr>
    </w:lvl>
    <w:lvl w:ilvl="8">
      <w:start w:val="1"/>
      <w:numFmt w:val="decimal"/>
      <w:isLgl/>
      <w:lvlText w:val="%1.%2.%3.%4.%5.%6.%7.%8.%9"/>
      <w:lvlJc w:val="left"/>
      <w:pPr>
        <w:ind w:left="4512" w:hanging="4512"/>
      </w:pPr>
      <w:rPr>
        <w:rFonts w:hint="default"/>
      </w:rPr>
    </w:lvl>
  </w:abstractNum>
  <w:abstractNum w:abstractNumId="6" w15:restartNumberingAfterBreak="0">
    <w:nsid w:val="31B95648"/>
    <w:multiLevelType w:val="hybridMultilevel"/>
    <w:tmpl w:val="C14E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A353E"/>
    <w:multiLevelType w:val="hybridMultilevel"/>
    <w:tmpl w:val="9F3435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30C0D1E"/>
    <w:multiLevelType w:val="hybridMultilevel"/>
    <w:tmpl w:val="B7640732"/>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8A2621"/>
    <w:multiLevelType w:val="hybridMultilevel"/>
    <w:tmpl w:val="E4A0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91E0B"/>
    <w:multiLevelType w:val="hybridMultilevel"/>
    <w:tmpl w:val="7BE20B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3213C"/>
    <w:multiLevelType w:val="hybridMultilevel"/>
    <w:tmpl w:val="C29A17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6F5B90"/>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512368D1"/>
    <w:multiLevelType w:val="hybridMultilevel"/>
    <w:tmpl w:val="BCCC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746BD"/>
    <w:multiLevelType w:val="hybridMultilevel"/>
    <w:tmpl w:val="135C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35C6B"/>
    <w:multiLevelType w:val="hybridMultilevel"/>
    <w:tmpl w:val="808868E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A817F1"/>
    <w:multiLevelType w:val="hybridMultilevel"/>
    <w:tmpl w:val="6F18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C34688"/>
    <w:multiLevelType w:val="hybridMultilevel"/>
    <w:tmpl w:val="8D9AE4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18589D"/>
    <w:multiLevelType w:val="hybridMultilevel"/>
    <w:tmpl w:val="86C8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DD48E1"/>
    <w:multiLevelType w:val="hybridMultilevel"/>
    <w:tmpl w:val="02A860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0970C0"/>
    <w:multiLevelType w:val="hybridMultilevel"/>
    <w:tmpl w:val="A336DC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9020836"/>
    <w:multiLevelType w:val="hybridMultilevel"/>
    <w:tmpl w:val="F42025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37604"/>
    <w:multiLevelType w:val="hybridMultilevel"/>
    <w:tmpl w:val="F73EA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5851472">
    <w:abstractNumId w:val="4"/>
  </w:num>
  <w:num w:numId="2" w16cid:durableId="1356997724">
    <w:abstractNumId w:val="7"/>
  </w:num>
  <w:num w:numId="3" w16cid:durableId="257569451">
    <w:abstractNumId w:val="8"/>
  </w:num>
  <w:num w:numId="4" w16cid:durableId="1793093880">
    <w:abstractNumId w:val="5"/>
  </w:num>
  <w:num w:numId="5" w16cid:durableId="941105180">
    <w:abstractNumId w:val="17"/>
  </w:num>
  <w:num w:numId="6" w16cid:durableId="871916479">
    <w:abstractNumId w:val="2"/>
  </w:num>
  <w:num w:numId="7" w16cid:durableId="895118742">
    <w:abstractNumId w:val="20"/>
  </w:num>
  <w:num w:numId="8" w16cid:durableId="1246960132">
    <w:abstractNumId w:val="12"/>
  </w:num>
  <w:num w:numId="9" w16cid:durableId="1739589285">
    <w:abstractNumId w:val="18"/>
  </w:num>
  <w:num w:numId="10" w16cid:durableId="670252343">
    <w:abstractNumId w:val="6"/>
  </w:num>
  <w:num w:numId="11" w16cid:durableId="2000378634">
    <w:abstractNumId w:val="13"/>
  </w:num>
  <w:num w:numId="12" w16cid:durableId="731733796">
    <w:abstractNumId w:val="1"/>
  </w:num>
  <w:num w:numId="13" w16cid:durableId="1646082588">
    <w:abstractNumId w:val="9"/>
  </w:num>
  <w:num w:numId="14" w16cid:durableId="2002346120">
    <w:abstractNumId w:val="0"/>
  </w:num>
  <w:num w:numId="15" w16cid:durableId="257176191">
    <w:abstractNumId w:val="22"/>
  </w:num>
  <w:num w:numId="16" w16cid:durableId="847332766">
    <w:abstractNumId w:val="21"/>
  </w:num>
  <w:num w:numId="17" w16cid:durableId="349797506">
    <w:abstractNumId w:val="11"/>
  </w:num>
  <w:num w:numId="18" w16cid:durableId="1795174321">
    <w:abstractNumId w:val="14"/>
  </w:num>
  <w:num w:numId="19" w16cid:durableId="1374696984">
    <w:abstractNumId w:val="19"/>
  </w:num>
  <w:num w:numId="20" w16cid:durableId="497577559">
    <w:abstractNumId w:val="16"/>
  </w:num>
  <w:num w:numId="21" w16cid:durableId="1841701010">
    <w:abstractNumId w:val="10"/>
  </w:num>
  <w:num w:numId="22" w16cid:durableId="438914892">
    <w:abstractNumId w:val="15"/>
  </w:num>
  <w:num w:numId="23" w16cid:durableId="1701122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49"/>
    <w:rsid w:val="0000355C"/>
    <w:rsid w:val="00012349"/>
    <w:rsid w:val="00013082"/>
    <w:rsid w:val="00013922"/>
    <w:rsid w:val="00017A85"/>
    <w:rsid w:val="00030B7C"/>
    <w:rsid w:val="00041923"/>
    <w:rsid w:val="000828EF"/>
    <w:rsid w:val="0008670F"/>
    <w:rsid w:val="000A2AD1"/>
    <w:rsid w:val="000F3B38"/>
    <w:rsid w:val="000F5C1B"/>
    <w:rsid w:val="000F6295"/>
    <w:rsid w:val="00122B7B"/>
    <w:rsid w:val="00124307"/>
    <w:rsid w:val="00125D73"/>
    <w:rsid w:val="00131C51"/>
    <w:rsid w:val="00134239"/>
    <w:rsid w:val="001410DE"/>
    <w:rsid w:val="00144824"/>
    <w:rsid w:val="00153994"/>
    <w:rsid w:val="00175406"/>
    <w:rsid w:val="00182F7E"/>
    <w:rsid w:val="0018490D"/>
    <w:rsid w:val="001873AF"/>
    <w:rsid w:val="001A09BE"/>
    <w:rsid w:val="001B31D4"/>
    <w:rsid w:val="001B41CB"/>
    <w:rsid w:val="001D4036"/>
    <w:rsid w:val="001E0A2D"/>
    <w:rsid w:val="00230314"/>
    <w:rsid w:val="00235E1B"/>
    <w:rsid w:val="002451E8"/>
    <w:rsid w:val="002545D3"/>
    <w:rsid w:val="00264751"/>
    <w:rsid w:val="00274945"/>
    <w:rsid w:val="00276EF4"/>
    <w:rsid w:val="00285EAA"/>
    <w:rsid w:val="00297A4E"/>
    <w:rsid w:val="00297F42"/>
    <w:rsid w:val="002B6222"/>
    <w:rsid w:val="002D1BE7"/>
    <w:rsid w:val="002F68A7"/>
    <w:rsid w:val="003008DD"/>
    <w:rsid w:val="00305F7D"/>
    <w:rsid w:val="00330667"/>
    <w:rsid w:val="00343FEA"/>
    <w:rsid w:val="003615E0"/>
    <w:rsid w:val="0036615F"/>
    <w:rsid w:val="00367DB8"/>
    <w:rsid w:val="00375526"/>
    <w:rsid w:val="00394CCB"/>
    <w:rsid w:val="003A050D"/>
    <w:rsid w:val="003D6357"/>
    <w:rsid w:val="003E0255"/>
    <w:rsid w:val="003E3364"/>
    <w:rsid w:val="003E4E5F"/>
    <w:rsid w:val="003F2E00"/>
    <w:rsid w:val="003F3C1D"/>
    <w:rsid w:val="00417DD4"/>
    <w:rsid w:val="00427580"/>
    <w:rsid w:val="0045522A"/>
    <w:rsid w:val="00473762"/>
    <w:rsid w:val="00475665"/>
    <w:rsid w:val="00484B1B"/>
    <w:rsid w:val="004968D7"/>
    <w:rsid w:val="004A2373"/>
    <w:rsid w:val="004A537F"/>
    <w:rsid w:val="004B7D00"/>
    <w:rsid w:val="004C027B"/>
    <w:rsid w:val="004D591A"/>
    <w:rsid w:val="004E6B5E"/>
    <w:rsid w:val="004E72E7"/>
    <w:rsid w:val="004F1DA3"/>
    <w:rsid w:val="00502DE2"/>
    <w:rsid w:val="00511E49"/>
    <w:rsid w:val="00540EE6"/>
    <w:rsid w:val="0055054E"/>
    <w:rsid w:val="005668E2"/>
    <w:rsid w:val="00570F09"/>
    <w:rsid w:val="005717A3"/>
    <w:rsid w:val="00573EDE"/>
    <w:rsid w:val="00574AF2"/>
    <w:rsid w:val="00577B45"/>
    <w:rsid w:val="0059764C"/>
    <w:rsid w:val="005C1A9E"/>
    <w:rsid w:val="005C2BE9"/>
    <w:rsid w:val="005E4665"/>
    <w:rsid w:val="005F0C5E"/>
    <w:rsid w:val="00602426"/>
    <w:rsid w:val="00604956"/>
    <w:rsid w:val="00606533"/>
    <w:rsid w:val="006144B2"/>
    <w:rsid w:val="00633223"/>
    <w:rsid w:val="006427CD"/>
    <w:rsid w:val="00650059"/>
    <w:rsid w:val="00652743"/>
    <w:rsid w:val="00664D7A"/>
    <w:rsid w:val="0066566D"/>
    <w:rsid w:val="006768E1"/>
    <w:rsid w:val="006956D8"/>
    <w:rsid w:val="0069585C"/>
    <w:rsid w:val="006B2AC2"/>
    <w:rsid w:val="006D3FBC"/>
    <w:rsid w:val="006F16CF"/>
    <w:rsid w:val="006F2FE9"/>
    <w:rsid w:val="00736306"/>
    <w:rsid w:val="007436C5"/>
    <w:rsid w:val="00750C6D"/>
    <w:rsid w:val="00772608"/>
    <w:rsid w:val="007749BD"/>
    <w:rsid w:val="007763A0"/>
    <w:rsid w:val="00794AA2"/>
    <w:rsid w:val="007B0858"/>
    <w:rsid w:val="007B430B"/>
    <w:rsid w:val="007C381A"/>
    <w:rsid w:val="007C456A"/>
    <w:rsid w:val="007C67E8"/>
    <w:rsid w:val="007D5FCF"/>
    <w:rsid w:val="007E0AA5"/>
    <w:rsid w:val="0080423D"/>
    <w:rsid w:val="00832008"/>
    <w:rsid w:val="008372CF"/>
    <w:rsid w:val="00850FAE"/>
    <w:rsid w:val="0086017A"/>
    <w:rsid w:val="00895FDB"/>
    <w:rsid w:val="008A67D7"/>
    <w:rsid w:val="008A762B"/>
    <w:rsid w:val="008C1E82"/>
    <w:rsid w:val="008C58D6"/>
    <w:rsid w:val="008C5DC8"/>
    <w:rsid w:val="008C6AFF"/>
    <w:rsid w:val="008E382E"/>
    <w:rsid w:val="008F7BAF"/>
    <w:rsid w:val="00905740"/>
    <w:rsid w:val="009239C2"/>
    <w:rsid w:val="00925698"/>
    <w:rsid w:val="00951F8D"/>
    <w:rsid w:val="009550F1"/>
    <w:rsid w:val="0096678D"/>
    <w:rsid w:val="009740BB"/>
    <w:rsid w:val="009773D0"/>
    <w:rsid w:val="00981646"/>
    <w:rsid w:val="009A5AB5"/>
    <w:rsid w:val="009A6275"/>
    <w:rsid w:val="009D3E85"/>
    <w:rsid w:val="009E2AE6"/>
    <w:rsid w:val="009F0080"/>
    <w:rsid w:val="00A00283"/>
    <w:rsid w:val="00A0118D"/>
    <w:rsid w:val="00A0672A"/>
    <w:rsid w:val="00A0786E"/>
    <w:rsid w:val="00A31876"/>
    <w:rsid w:val="00A41D66"/>
    <w:rsid w:val="00A61A7E"/>
    <w:rsid w:val="00A62586"/>
    <w:rsid w:val="00A669A0"/>
    <w:rsid w:val="00A70AE6"/>
    <w:rsid w:val="00A75FAE"/>
    <w:rsid w:val="00A84315"/>
    <w:rsid w:val="00A85C6E"/>
    <w:rsid w:val="00AA3175"/>
    <w:rsid w:val="00AC52C2"/>
    <w:rsid w:val="00AF0928"/>
    <w:rsid w:val="00AF4DF4"/>
    <w:rsid w:val="00AF6E58"/>
    <w:rsid w:val="00B018EB"/>
    <w:rsid w:val="00B419AB"/>
    <w:rsid w:val="00B546EE"/>
    <w:rsid w:val="00B74EE9"/>
    <w:rsid w:val="00B86BAC"/>
    <w:rsid w:val="00B86EFA"/>
    <w:rsid w:val="00B969E5"/>
    <w:rsid w:val="00BA580D"/>
    <w:rsid w:val="00BB663C"/>
    <w:rsid w:val="00BC128E"/>
    <w:rsid w:val="00BC2583"/>
    <w:rsid w:val="00BC33CE"/>
    <w:rsid w:val="00BC4794"/>
    <w:rsid w:val="00BC4D8A"/>
    <w:rsid w:val="00BD348B"/>
    <w:rsid w:val="00BF07BC"/>
    <w:rsid w:val="00C0327A"/>
    <w:rsid w:val="00C14D92"/>
    <w:rsid w:val="00C239A0"/>
    <w:rsid w:val="00C40FEA"/>
    <w:rsid w:val="00C51030"/>
    <w:rsid w:val="00C77B98"/>
    <w:rsid w:val="00C813D9"/>
    <w:rsid w:val="00CA510C"/>
    <w:rsid w:val="00CA7F81"/>
    <w:rsid w:val="00CC235F"/>
    <w:rsid w:val="00CD7219"/>
    <w:rsid w:val="00CE247D"/>
    <w:rsid w:val="00D05345"/>
    <w:rsid w:val="00D07A1F"/>
    <w:rsid w:val="00D524ED"/>
    <w:rsid w:val="00D72B46"/>
    <w:rsid w:val="00D76851"/>
    <w:rsid w:val="00D86DFB"/>
    <w:rsid w:val="00DC4AC0"/>
    <w:rsid w:val="00DC5AE5"/>
    <w:rsid w:val="00DD3706"/>
    <w:rsid w:val="00DE03E5"/>
    <w:rsid w:val="00DF379D"/>
    <w:rsid w:val="00E108FF"/>
    <w:rsid w:val="00E15F91"/>
    <w:rsid w:val="00E24E68"/>
    <w:rsid w:val="00E374C8"/>
    <w:rsid w:val="00E43549"/>
    <w:rsid w:val="00E436C9"/>
    <w:rsid w:val="00E51AD5"/>
    <w:rsid w:val="00E52639"/>
    <w:rsid w:val="00E569A0"/>
    <w:rsid w:val="00E6440F"/>
    <w:rsid w:val="00E71383"/>
    <w:rsid w:val="00E74DB6"/>
    <w:rsid w:val="00E9669E"/>
    <w:rsid w:val="00EA127A"/>
    <w:rsid w:val="00EB7D34"/>
    <w:rsid w:val="00EC22D5"/>
    <w:rsid w:val="00EC5588"/>
    <w:rsid w:val="00ED5520"/>
    <w:rsid w:val="00EE4789"/>
    <w:rsid w:val="00EF32EA"/>
    <w:rsid w:val="00EF53DD"/>
    <w:rsid w:val="00F24683"/>
    <w:rsid w:val="00F34B77"/>
    <w:rsid w:val="00F362FD"/>
    <w:rsid w:val="00F40EE2"/>
    <w:rsid w:val="00F56DA1"/>
    <w:rsid w:val="00F57992"/>
    <w:rsid w:val="00F70D56"/>
    <w:rsid w:val="00F741ED"/>
    <w:rsid w:val="00F77641"/>
    <w:rsid w:val="00F85798"/>
    <w:rsid w:val="00F9110A"/>
    <w:rsid w:val="00FA357F"/>
    <w:rsid w:val="00FA4B7A"/>
    <w:rsid w:val="00FC5005"/>
    <w:rsid w:val="00FE3023"/>
    <w:rsid w:val="00FE48C8"/>
    <w:rsid w:val="00FE4B7B"/>
    <w:rsid w:val="00FE6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F4FF210"/>
  <w15:docId w15:val="{9363E682-0946-465F-AF2D-871B9464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85C"/>
    <w:rPr>
      <w:sz w:val="24"/>
    </w:rPr>
  </w:style>
  <w:style w:type="paragraph" w:styleId="Heading1">
    <w:name w:val="heading 1"/>
    <w:basedOn w:val="Normal"/>
    <w:next w:val="Normal"/>
    <w:link w:val="Heading1Char"/>
    <w:uiPriority w:val="9"/>
    <w:qFormat/>
    <w:rsid w:val="007B0858"/>
    <w:pPr>
      <w:keepNext/>
      <w:keepLines/>
      <w:spacing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0858"/>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436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35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43549"/>
    <w:rPr>
      <w:rFonts w:eastAsiaTheme="minorEastAsia"/>
      <w:lang w:val="en-US" w:eastAsia="ja-JP"/>
    </w:rPr>
  </w:style>
  <w:style w:type="paragraph" w:styleId="BalloonText">
    <w:name w:val="Balloon Text"/>
    <w:basedOn w:val="Normal"/>
    <w:link w:val="BalloonTextChar"/>
    <w:uiPriority w:val="99"/>
    <w:semiHidden/>
    <w:unhideWhenUsed/>
    <w:rsid w:val="00E4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549"/>
    <w:rPr>
      <w:rFonts w:ascii="Tahoma" w:hAnsi="Tahoma" w:cs="Tahoma"/>
      <w:sz w:val="16"/>
      <w:szCs w:val="16"/>
    </w:rPr>
  </w:style>
  <w:style w:type="character" w:customStyle="1" w:styleId="Heading1Char">
    <w:name w:val="Heading 1 Char"/>
    <w:basedOn w:val="DefaultParagraphFont"/>
    <w:link w:val="Heading1"/>
    <w:uiPriority w:val="9"/>
    <w:rsid w:val="007B08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43549"/>
    <w:pPr>
      <w:outlineLvl w:val="9"/>
    </w:pPr>
    <w:rPr>
      <w:lang w:val="en-US" w:eastAsia="ja-JP"/>
    </w:rPr>
  </w:style>
  <w:style w:type="paragraph" w:styleId="Header">
    <w:name w:val="header"/>
    <w:basedOn w:val="Normal"/>
    <w:link w:val="HeaderChar"/>
    <w:uiPriority w:val="99"/>
    <w:unhideWhenUsed/>
    <w:rsid w:val="00E43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549"/>
  </w:style>
  <w:style w:type="paragraph" w:styleId="Footer">
    <w:name w:val="footer"/>
    <w:basedOn w:val="Normal"/>
    <w:link w:val="FooterChar"/>
    <w:uiPriority w:val="99"/>
    <w:unhideWhenUsed/>
    <w:rsid w:val="00E43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549"/>
  </w:style>
  <w:style w:type="table" w:styleId="TableGrid">
    <w:name w:val="Table Grid"/>
    <w:basedOn w:val="TableNormal"/>
    <w:uiPriority w:val="59"/>
    <w:rsid w:val="00E4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43549"/>
    <w:pPr>
      <w:spacing w:after="100"/>
    </w:pPr>
  </w:style>
  <w:style w:type="character" w:styleId="Hyperlink">
    <w:name w:val="Hyperlink"/>
    <w:basedOn w:val="DefaultParagraphFont"/>
    <w:uiPriority w:val="99"/>
    <w:unhideWhenUsed/>
    <w:rsid w:val="00E43549"/>
    <w:rPr>
      <w:color w:val="0000FF" w:themeColor="hyperlink"/>
      <w:u w:val="single"/>
    </w:rPr>
  </w:style>
  <w:style w:type="character" w:customStyle="1" w:styleId="Heading4Char">
    <w:name w:val="Heading 4 Char"/>
    <w:basedOn w:val="DefaultParagraphFont"/>
    <w:link w:val="Heading4"/>
    <w:uiPriority w:val="9"/>
    <w:semiHidden/>
    <w:rsid w:val="00E436C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B085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5522A"/>
    <w:pPr>
      <w:spacing w:after="100"/>
      <w:ind w:left="220"/>
    </w:pPr>
  </w:style>
  <w:style w:type="paragraph" w:styleId="ListParagraph">
    <w:name w:val="List Paragraph"/>
    <w:basedOn w:val="Normal"/>
    <w:uiPriority w:val="34"/>
    <w:qFormat/>
    <w:rsid w:val="00DC4AC0"/>
    <w:pPr>
      <w:ind w:left="720"/>
      <w:contextualSpacing/>
    </w:pPr>
  </w:style>
  <w:style w:type="paragraph" w:styleId="Title">
    <w:name w:val="Title"/>
    <w:basedOn w:val="Normal"/>
    <w:link w:val="TitleChar"/>
    <w:qFormat/>
    <w:rsid w:val="00AF4DF4"/>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AF4DF4"/>
    <w:rPr>
      <w:rFonts w:ascii="Arial" w:eastAsia="Times New Roman" w:hAnsi="Arial" w:cs="Times New Roman"/>
      <w:b/>
      <w:sz w:val="28"/>
      <w:szCs w:val="20"/>
    </w:rPr>
  </w:style>
  <w:style w:type="character" w:styleId="UnresolvedMention">
    <w:name w:val="Unresolved Mention"/>
    <w:basedOn w:val="DefaultParagraphFont"/>
    <w:uiPriority w:val="99"/>
    <w:semiHidden/>
    <w:unhideWhenUsed/>
    <w:rsid w:val="004E72E7"/>
    <w:rPr>
      <w:color w:val="605E5C"/>
      <w:shd w:val="clear" w:color="auto" w:fill="E1DFDD"/>
    </w:rPr>
  </w:style>
  <w:style w:type="character" w:styleId="FollowedHyperlink">
    <w:name w:val="FollowedHyperlink"/>
    <w:basedOn w:val="DefaultParagraphFont"/>
    <w:uiPriority w:val="99"/>
    <w:semiHidden/>
    <w:unhideWhenUsed/>
    <w:rsid w:val="006144B2"/>
    <w:rPr>
      <w:color w:val="800080" w:themeColor="followedHyperlink"/>
      <w:u w:val="single"/>
    </w:rPr>
  </w:style>
  <w:style w:type="table" w:styleId="MediumGrid1-Accent1">
    <w:name w:val="Medium Grid 1 Accent 1"/>
    <w:basedOn w:val="TableNormal"/>
    <w:uiPriority w:val="67"/>
    <w:rsid w:val="00E569A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bodycopy">
    <w:name w:val="bodycopy"/>
    <w:basedOn w:val="Normal"/>
    <w:rsid w:val="00E569A0"/>
    <w:pPr>
      <w:spacing w:after="0" w:line="240" w:lineRule="auto"/>
    </w:pPr>
    <w:rPr>
      <w:rFonts w:ascii="Arial" w:eastAsia="Times" w:hAnsi="Arial"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5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ata-protection" TargetMode="External"/><Relationship Id="rId18" Type="http://schemas.openxmlformats.org/officeDocument/2006/relationships/hyperlink" Target="https://ico.org.uk/for-organisations/guide-to-the-general-data-protection-regulation-gdpr/principles/" TargetMode="External"/><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ascservicedevelopment@halton.gov.uk" TargetMode="External"/><Relationship Id="rId17" Type="http://schemas.openxmlformats.org/officeDocument/2006/relationships/hyperlink" Target="https://www.legislation.gov.uk/ukpga/1998/42/contents"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www.legislation.gov.uk/ukpga/1998/37/content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1.docx"/><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image" Target="media/image3.emf"/><Relationship Id="rId28" Type="http://schemas.openxmlformats.org/officeDocument/2006/relationships/package" Target="embeddings/Microsoft_Word_Document3.doc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dpr-info.eu/" TargetMode="External"/><Relationship Id="rId22" Type="http://schemas.openxmlformats.org/officeDocument/2006/relationships/package" Target="embeddings/Microsoft_Word_Document.docx"/><Relationship Id="rId27" Type="http://schemas.openxmlformats.org/officeDocument/2006/relationships/image" Target="media/image5.emf"/><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haltongovuk.sharepoint.com/sites/ASC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75F8DEA3C9A449B576E31F1B9CF8D5" ma:contentTypeVersion="6" ma:contentTypeDescription="Create a new document." ma:contentTypeScope="" ma:versionID="ed1dbd3be357b4812c038f8862ed26d7">
  <xsd:schema xmlns:xsd="http://www.w3.org/2001/XMLSchema" xmlns:xs="http://www.w3.org/2001/XMLSchema" xmlns:p="http://schemas.microsoft.com/office/2006/metadata/properties" xmlns:ns2="36d75fad-0028-40b8-aa6b-7dd64966930f" xmlns:ns3="f7c545c5-dc1b-4b1d-9ab7-f44638e622f1" targetNamespace="http://schemas.microsoft.com/office/2006/metadata/properties" ma:root="true" ma:fieldsID="2a005b5a578a698898aee04a225ea3e1" ns2:_="" ns3:_="">
    <xsd:import namespace="36d75fad-0028-40b8-aa6b-7dd64966930f"/>
    <xsd:import namespace="f7c545c5-dc1b-4b1d-9ab7-f44638e6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75fad-0028-40b8-aa6b-7dd64966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545c5-dc1b-4b1d-9ab7-f44638e62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9964C-2420-427F-AACD-B55EAE7559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766887-48B1-44B7-ACDA-36FD952D8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75fad-0028-40b8-aa6b-7dd64966930f"/>
    <ds:schemaRef ds:uri="f7c545c5-dc1b-4b1d-9ab7-f44638e62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B81A-D3AF-4026-A5BF-6DA456268F95}">
  <ds:schemaRefs>
    <ds:schemaRef ds:uri="http://schemas.openxmlformats.org/officeDocument/2006/bibliography"/>
  </ds:schemaRefs>
</ds:datastoreItem>
</file>

<file path=customXml/itemProps4.xml><?xml version="1.0" encoding="utf-8"?>
<ds:datastoreItem xmlns:ds="http://schemas.openxmlformats.org/officeDocument/2006/customXml" ds:itemID="{8004C070-FA2A-48F8-8B2C-CA5FBB7B75F9}">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3009</Words>
  <Characters>17154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Managing Concerns around People in Positions of Trust with Adults who have Care and Support Needs</vt:lpstr>
    </vt:vector>
  </TitlesOfParts>
  <Company>Halton Borough Council</Company>
  <LinksUpToDate>false</LinksUpToDate>
  <CharactersWithSpaces>20123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Concerns around People in Positions of Trust with Adults who have Care and Support Needs</dc:title>
  <dc:creator>Natalie Johnson</dc:creator>
  <cp:lastModifiedBy>Katy Rushworth</cp:lastModifiedBy>
  <cp:revision>14</cp:revision>
  <dcterms:created xsi:type="dcterms:W3CDTF">2025-01-07T14:03:00Z</dcterms:created>
  <dcterms:modified xsi:type="dcterms:W3CDTF">2025-05-01T08:38:00Z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0x010100A975F8DEA3C9A449B576E31F1B9CF8D5</vt:lpwstr>
  </property>
</Properties>
</file>